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8F" w:rsidRDefault="00172A18" w:rsidP="00733935">
      <w:pPr>
        <w:pStyle w:val="a9"/>
        <w:jc w:val="center"/>
        <w:rPr>
          <w:b/>
          <w:sz w:val="32"/>
          <w:szCs w:val="32"/>
        </w:rPr>
      </w:pPr>
      <w:r w:rsidRPr="00733935">
        <w:rPr>
          <w:rStyle w:val="caps"/>
          <w:b/>
          <w:bCs/>
          <w:color w:val="000000"/>
          <w:sz w:val="32"/>
          <w:szCs w:val="32"/>
        </w:rPr>
        <w:t>ПАСПОРТ</w:t>
      </w:r>
      <w:r w:rsidRPr="00733935">
        <w:rPr>
          <w:b/>
          <w:sz w:val="32"/>
          <w:szCs w:val="32"/>
        </w:rPr>
        <w:br/>
      </w:r>
      <w:r w:rsidR="00691344">
        <w:rPr>
          <w:b/>
          <w:sz w:val="32"/>
          <w:szCs w:val="32"/>
        </w:rPr>
        <w:t>Бл</w:t>
      </w:r>
      <w:r w:rsidR="00691344" w:rsidRPr="00691344">
        <w:rPr>
          <w:b/>
          <w:sz w:val="32"/>
          <w:szCs w:val="32"/>
        </w:rPr>
        <w:t>очная тандем-</w:t>
      </w:r>
      <w:r w:rsidR="00691344">
        <w:rPr>
          <w:b/>
          <w:sz w:val="32"/>
          <w:szCs w:val="32"/>
        </w:rPr>
        <w:t>каретка (роликовая тележка)</w:t>
      </w:r>
    </w:p>
    <w:p w:rsidR="00691344" w:rsidRDefault="00691344" w:rsidP="00733935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«КВАДРО»</w:t>
      </w:r>
    </w:p>
    <w:p w:rsidR="00C01E85" w:rsidRPr="00C01E85" w:rsidRDefault="00C01E85" w:rsidP="00733935">
      <w:pPr>
        <w:pStyle w:val="a9"/>
        <w:jc w:val="center"/>
        <w:rPr>
          <w:b/>
          <w:sz w:val="12"/>
          <w:szCs w:val="12"/>
        </w:rPr>
      </w:pPr>
    </w:p>
    <w:p w:rsidR="00374999" w:rsidRDefault="00E125E3" w:rsidP="00F23362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15940" cy="2340000"/>
            <wp:effectExtent l="0" t="0" r="0" b="0"/>
            <wp:docPr id="3" name="Рисунок 1" descr="https://krok.biz/image/cache/data/blok-roliki/Balochnaya_tandem-karetka_Kvadro_plus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.biz/image/cache/data/blok-roliki/Balochnaya_tandem-karetka_Kvadro_plus_2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3497" b="3497"/>
                    <a:stretch/>
                  </pic:blipFill>
                  <pic:spPr bwMode="auto">
                    <a:xfrm>
                      <a:off x="0" y="0"/>
                      <a:ext cx="251594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E85" w:rsidRPr="00C01E85" w:rsidRDefault="00C01E85" w:rsidP="00F23362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172A18" w:rsidRPr="004118DC" w:rsidRDefault="00D021B3" w:rsidP="00F35952">
      <w:pPr>
        <w:pStyle w:val="a9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F35952" w:rsidRDefault="00E91FF7" w:rsidP="00F35952">
      <w:pPr>
        <w:pStyle w:val="a9"/>
        <w:ind w:firstLine="348"/>
        <w:jc w:val="both"/>
      </w:pPr>
      <w:r>
        <w:rPr>
          <w:rStyle w:val="a5"/>
          <w:b w:val="0"/>
          <w:color w:val="000000"/>
        </w:rPr>
        <w:t>1.1.</w:t>
      </w:r>
      <w:r w:rsidR="00F35952">
        <w:rPr>
          <w:rStyle w:val="a5"/>
          <w:b w:val="0"/>
          <w:color w:val="000000"/>
        </w:rPr>
        <w:t xml:space="preserve"> </w:t>
      </w:r>
      <w:r w:rsidR="00F35952" w:rsidRPr="00171BAD">
        <w:rPr>
          <w:rStyle w:val="a5"/>
          <w:i/>
          <w:color w:val="000000"/>
        </w:rPr>
        <w:t>Балочная тандем-каретка (роликовая тележка) «КВАДРО»</w:t>
      </w:r>
      <w:r w:rsidR="00F35952">
        <w:rPr>
          <w:rStyle w:val="a5"/>
          <w:b w:val="0"/>
          <w:color w:val="000000"/>
        </w:rPr>
        <w:t xml:space="preserve"> (</w:t>
      </w:r>
      <w:r w:rsidR="00F35952" w:rsidRPr="00171BAD">
        <w:rPr>
          <w:rStyle w:val="a5"/>
          <w:b w:val="0"/>
          <w:i/>
          <w:color w:val="000000"/>
        </w:rPr>
        <w:t>далее</w:t>
      </w:r>
      <w:r w:rsidR="00F35952">
        <w:rPr>
          <w:rStyle w:val="a5"/>
          <w:b w:val="0"/>
          <w:color w:val="000000"/>
        </w:rPr>
        <w:t xml:space="preserve"> – тандем-каретка, изделие) – подвижная </w:t>
      </w:r>
      <w:r w:rsidR="00E125E3">
        <w:rPr>
          <w:rStyle w:val="a5"/>
          <w:b w:val="0"/>
          <w:color w:val="000000"/>
        </w:rPr>
        <w:t xml:space="preserve">мобильная </w:t>
      </w:r>
      <w:r w:rsidR="00F35952">
        <w:rPr>
          <w:rStyle w:val="a5"/>
          <w:b w:val="0"/>
          <w:color w:val="000000"/>
        </w:rPr>
        <w:t>анкерная точка крепления, предназначенная для установки</w:t>
      </w:r>
      <w:r w:rsidR="00F35952" w:rsidRPr="001F566C">
        <w:t xml:space="preserve"> на стандартный балочный металл</w:t>
      </w:r>
      <w:r w:rsidR="00F35952">
        <w:t xml:space="preserve">ический </w:t>
      </w:r>
      <w:r w:rsidR="00F35952" w:rsidRPr="001F566C">
        <w:t xml:space="preserve">профиль типа тавр или </w:t>
      </w:r>
      <w:proofErr w:type="spellStart"/>
      <w:r w:rsidR="00F35952" w:rsidRPr="001F566C">
        <w:t>двутавр</w:t>
      </w:r>
      <w:proofErr w:type="spellEnd"/>
      <w:r w:rsidR="00F35952" w:rsidRPr="001F566C">
        <w:t>.</w:t>
      </w:r>
    </w:p>
    <w:p w:rsidR="00F35952" w:rsidRDefault="00F35952" w:rsidP="00F35952">
      <w:pPr>
        <w:pStyle w:val="a9"/>
        <w:ind w:firstLine="348"/>
        <w:jc w:val="both"/>
      </w:pPr>
      <w:r>
        <w:t>1.2. О</w:t>
      </w:r>
      <w:r w:rsidRPr="001F566C">
        <w:t xml:space="preserve">беспечивает непрерывность страховки </w:t>
      </w:r>
      <w:r>
        <w:t xml:space="preserve">и предназначена для использования </w:t>
      </w:r>
      <w:r w:rsidRPr="001F566C">
        <w:t>в жёстких горизонтальных системах защиты от падения с высоты балочного типа.</w:t>
      </w:r>
    </w:p>
    <w:p w:rsidR="00E125E3" w:rsidRDefault="00F35952" w:rsidP="00F35952">
      <w:pPr>
        <w:pStyle w:val="a9"/>
        <w:ind w:firstLine="348"/>
        <w:jc w:val="both"/>
      </w:pPr>
      <w:r>
        <w:t xml:space="preserve">1.3. </w:t>
      </w:r>
      <w:r w:rsidRPr="001F566C">
        <w:t>Преимуществом использования </w:t>
      </w:r>
      <w:r w:rsidRPr="00171BAD">
        <w:rPr>
          <w:iCs/>
        </w:rPr>
        <w:t>тандем-карет</w:t>
      </w:r>
      <w:r w:rsidR="00E125E3">
        <w:rPr>
          <w:iCs/>
        </w:rPr>
        <w:t>ок</w:t>
      </w:r>
      <w:r w:rsidRPr="001F566C">
        <w:t xml:space="preserve"> перед другими видами подвижных </w:t>
      </w:r>
      <w:r w:rsidR="00E125E3">
        <w:t xml:space="preserve">мобильных </w:t>
      </w:r>
      <w:r w:rsidRPr="001F566C">
        <w:t xml:space="preserve">анкерных точек является </w:t>
      </w:r>
      <w:r w:rsidR="00E125E3">
        <w:t xml:space="preserve">простота </w:t>
      </w:r>
      <w:r w:rsidRPr="001F566C">
        <w:t>устройств</w:t>
      </w:r>
      <w:r w:rsidR="00E125E3">
        <w:t>а анкерной направляющей.</w:t>
      </w:r>
    </w:p>
    <w:p w:rsidR="00F35952" w:rsidRDefault="00F35952" w:rsidP="003529DA">
      <w:pPr>
        <w:pStyle w:val="a9"/>
        <w:ind w:firstLine="348"/>
        <w:jc w:val="both"/>
        <w:rPr>
          <w:rStyle w:val="a5"/>
          <w:b w:val="0"/>
          <w:color w:val="000000"/>
        </w:rPr>
      </w:pPr>
    </w:p>
    <w:p w:rsidR="004118DC" w:rsidRPr="004118DC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172A18" w:rsidRPr="004118DC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171BAD" w:rsidRPr="00171BAD" w:rsidRDefault="00D021B3" w:rsidP="000867C7">
      <w:pPr>
        <w:pStyle w:val="a9"/>
        <w:ind w:firstLine="348"/>
        <w:jc w:val="both"/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667776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t>.</w:t>
      </w:r>
      <w:r w:rsidR="00D15896">
        <w:rPr>
          <w:color w:val="FFFFFF" w:themeColor="background1"/>
        </w:rPr>
        <w:t xml:space="preserve"> </w:t>
      </w:r>
      <w:r w:rsidR="00171BAD" w:rsidRPr="00171BAD">
        <w:rPr>
          <w:rStyle w:val="a5"/>
          <w:i/>
          <w:color w:val="000000"/>
        </w:rPr>
        <w:t xml:space="preserve">Балочная тандем-каретка </w:t>
      </w:r>
      <w:r w:rsidR="00171BAD">
        <w:rPr>
          <w:rStyle w:val="a5"/>
          <w:b w:val="0"/>
          <w:color w:val="000000"/>
        </w:rPr>
        <w:t>выпускается в двух исполнениях: «КВАДРО» и «КВАДРО+», которые модифицированы под различную ширину основания (профилей или сборных профилей).</w:t>
      </w:r>
    </w:p>
    <w:p w:rsidR="00171BAD" w:rsidRPr="00AF74CE" w:rsidRDefault="00171BAD" w:rsidP="005524F5">
      <w:pPr>
        <w:pStyle w:val="a9"/>
        <w:ind w:firstLine="348"/>
        <w:jc w:val="both"/>
      </w:pPr>
      <w:r>
        <w:t xml:space="preserve">2.2.  Тандем-каретка «КВАДРО» </w:t>
      </w:r>
      <w:r w:rsidR="005524F5">
        <w:t>(исполнен</w:t>
      </w:r>
      <w:r w:rsidR="00AF7526">
        <w:t>ие</w:t>
      </w:r>
      <w:r w:rsidR="005524F5">
        <w:t xml:space="preserve"> 1) </w:t>
      </w:r>
      <w:r>
        <w:t xml:space="preserve">устанавливается </w:t>
      </w:r>
      <w:r w:rsidR="005524F5">
        <w:t xml:space="preserve">(по умолчанию) на стандартный </w:t>
      </w:r>
      <w:r w:rsidRPr="00AF74CE">
        <w:t>12-й балочный металл</w:t>
      </w:r>
      <w:r w:rsidR="005524F5">
        <w:t xml:space="preserve">ический </w:t>
      </w:r>
      <w:r w:rsidRPr="00AF74CE">
        <w:t xml:space="preserve">профиль </w:t>
      </w:r>
      <w:r w:rsidR="005524F5">
        <w:t>(</w:t>
      </w:r>
      <w:r w:rsidRPr="00AF74CE">
        <w:t xml:space="preserve">тавр или </w:t>
      </w:r>
      <w:proofErr w:type="spellStart"/>
      <w:r w:rsidRPr="00AF74CE">
        <w:t>двутавр</w:t>
      </w:r>
      <w:proofErr w:type="spellEnd"/>
      <w:r w:rsidR="005524F5">
        <w:t>); также в</w:t>
      </w:r>
      <w:r w:rsidRPr="00AF74CE">
        <w:t>озможна установка и на профили других номеров или сборных профилей с шириной основания в диапазоне от 55 до 81 мм</w:t>
      </w:r>
      <w:r w:rsidR="005524F5">
        <w:t xml:space="preserve">, что достигается установкой </w:t>
      </w:r>
      <w:r w:rsidRPr="00AF74CE">
        <w:t>соединительно-грузовой штанг</w:t>
      </w:r>
      <w:r w:rsidR="005524F5">
        <w:t xml:space="preserve">и соответствующей длины (в этом случае </w:t>
      </w:r>
      <w:r w:rsidR="005524F5" w:rsidRPr="00AF74CE">
        <w:t>н</w:t>
      </w:r>
      <w:r w:rsidR="005524F5">
        <w:t>еобходимо отдельно</w:t>
      </w:r>
      <w:r w:rsidR="005524F5" w:rsidRPr="00AF74CE">
        <w:t xml:space="preserve"> указать в комментариях к заказу для комплектации каретки</w:t>
      </w:r>
      <w:r w:rsidR="005524F5">
        <w:t xml:space="preserve">). </w:t>
      </w:r>
      <w:r w:rsidRPr="00AF74CE">
        <w:t>При использовании </w:t>
      </w:r>
      <w:r w:rsidR="005524F5">
        <w:t xml:space="preserve">тандем-каретки </w:t>
      </w:r>
      <w:r w:rsidRPr="00AF74CE">
        <w:t>на балках с шириной основания более 81 мм (номер профиля выше 16-го), необходимо использовать тележку «К</w:t>
      </w:r>
      <w:r w:rsidR="005524F5" w:rsidRPr="00AF74CE">
        <w:t>ВАДРО</w:t>
      </w:r>
      <w:r w:rsidRPr="00AF74CE">
        <w:t>+»</w:t>
      </w:r>
      <w:r w:rsidR="005524F5">
        <w:t xml:space="preserve"> (исполнен</w:t>
      </w:r>
      <w:r w:rsidR="00AF7526">
        <w:t>ие</w:t>
      </w:r>
      <w:r w:rsidR="005524F5">
        <w:t xml:space="preserve"> 2)</w:t>
      </w:r>
      <w:r w:rsidRPr="00AF74CE">
        <w:t xml:space="preserve"> или приобрести универсальную соединительную штангу, позволяющую регулировать расстояние между щеками каретки под диапазон от 50 до 250 мм.</w:t>
      </w:r>
    </w:p>
    <w:p w:rsidR="00A17D19" w:rsidRDefault="00A17D19" w:rsidP="00A17D19">
      <w:pPr>
        <w:pStyle w:val="a9"/>
        <w:ind w:firstLine="348"/>
        <w:jc w:val="both"/>
      </w:pPr>
      <w:r>
        <w:t>2.3</w:t>
      </w:r>
      <w:r w:rsidR="00295A61">
        <w:t xml:space="preserve">. Конструктивно тандем-каретка представляет собой </w:t>
      </w:r>
      <w:r w:rsidR="00A44C0A">
        <w:t xml:space="preserve">две </w:t>
      </w:r>
      <w:r w:rsidR="00295A61">
        <w:t>стальн</w:t>
      </w:r>
      <w:r w:rsidR="00A44C0A">
        <w:t>ы</w:t>
      </w:r>
      <w:r w:rsidR="00773152">
        <w:t>е</w:t>
      </w:r>
      <w:r w:rsidR="00A44C0A">
        <w:t xml:space="preserve"> фрезерованны</w:t>
      </w:r>
      <w:r w:rsidR="00773152">
        <w:t>е</w:t>
      </w:r>
      <w:r w:rsidR="00A44C0A">
        <w:t xml:space="preserve"> щеки </w:t>
      </w:r>
      <w:r w:rsidR="00295A61">
        <w:t>(1), на которы</w:t>
      </w:r>
      <w:r w:rsidR="00A44C0A">
        <w:t>е</w:t>
      </w:r>
      <w:r w:rsidR="00295A61">
        <w:t xml:space="preserve"> монтируются </w:t>
      </w:r>
      <w:r w:rsidR="00773152">
        <w:t xml:space="preserve">все </w:t>
      </w:r>
      <w:r w:rsidR="007A280B">
        <w:t xml:space="preserve">остальные </w:t>
      </w:r>
      <w:r w:rsidR="00295A61">
        <w:t xml:space="preserve">элементы. </w:t>
      </w:r>
      <w:r w:rsidR="007A280B">
        <w:t>Щеки соединены между собой р</w:t>
      </w:r>
      <w:r w:rsidR="007A280B" w:rsidRPr="00295A61">
        <w:t>аспорн</w:t>
      </w:r>
      <w:r w:rsidR="007A280B">
        <w:t>ой</w:t>
      </w:r>
      <w:r w:rsidR="007A280B" w:rsidRPr="00295A61">
        <w:t xml:space="preserve"> штанг</w:t>
      </w:r>
      <w:r w:rsidR="007A280B">
        <w:t xml:space="preserve">ой, представляющей собой шпильку (2) с фиксирующими </w:t>
      </w:r>
      <w:proofErr w:type="spellStart"/>
      <w:r w:rsidR="007A280B">
        <w:t>самоконтрящимися</w:t>
      </w:r>
      <w:proofErr w:type="spellEnd"/>
      <w:r w:rsidR="007A280B">
        <w:t xml:space="preserve"> гайками (13) и шайбами (14)</w:t>
      </w:r>
      <w:r w:rsidR="007A280B" w:rsidRPr="00295A61">
        <w:t>.</w:t>
      </w:r>
      <w:r w:rsidR="007A280B">
        <w:t xml:space="preserve"> С обеих сторон щеки тандем-каретки защищены четырьмя (попарно с двух сторон)</w:t>
      </w:r>
      <w:r w:rsidR="00C20EA3">
        <w:t xml:space="preserve"> пластинами-протекторами</w:t>
      </w:r>
      <w:r w:rsidR="007A280B">
        <w:t xml:space="preserve"> (3 и 4), </w:t>
      </w:r>
      <w:r w:rsidR="00773152">
        <w:t xml:space="preserve">соединенными со щеками винтами (11 и 12), и </w:t>
      </w:r>
      <w:r w:rsidR="007A280B">
        <w:t>предохраняю</w:t>
      </w:r>
      <w:r w:rsidR="00773152">
        <w:t>щими</w:t>
      </w:r>
      <w:r w:rsidR="007A280B">
        <w:t xml:space="preserve"> от попадания различных предметов в рабочую зону тандем-к</w:t>
      </w:r>
      <w:r w:rsidR="00C20EA3">
        <w:t xml:space="preserve">аретки, </w:t>
      </w:r>
      <w:r w:rsidR="00C20EA3" w:rsidRPr="00295A61">
        <w:t>очища</w:t>
      </w:r>
      <w:r w:rsidR="00773152">
        <w:t>ющими</w:t>
      </w:r>
      <w:r w:rsidR="00C20EA3" w:rsidRPr="00295A61">
        <w:t xml:space="preserve"> путь движения тележки от возможного мусор</w:t>
      </w:r>
      <w:r w:rsidR="00773152">
        <w:t>а</w:t>
      </w:r>
      <w:r w:rsidR="00C20EA3" w:rsidRPr="00295A61">
        <w:t>, а в случае нештатной ситуации выполня</w:t>
      </w:r>
      <w:r w:rsidR="00773152">
        <w:t>ющими</w:t>
      </w:r>
      <w:r w:rsidR="00C20EA3" w:rsidRPr="00295A61">
        <w:t xml:space="preserve"> роль дополнительных упоров, препятствующих сходу тележки с профиля балки.</w:t>
      </w:r>
      <w:r w:rsidR="00C20EA3">
        <w:t xml:space="preserve"> </w:t>
      </w:r>
      <w:r w:rsidR="00C20EA3" w:rsidRPr="00295A61">
        <w:t>Каждая щека оборудована парой роликов</w:t>
      </w:r>
      <w:r w:rsidR="00C20EA3">
        <w:t xml:space="preserve"> (7), посаженных посредством радиальных шарикоподшипников (8) на фиксированные оси (6), прикрепленные к щекам </w:t>
      </w:r>
      <w:proofErr w:type="spellStart"/>
      <w:r w:rsidR="00C20EA3">
        <w:t>самоконтрящимися</w:t>
      </w:r>
      <w:proofErr w:type="spellEnd"/>
      <w:r w:rsidR="00C20EA3">
        <w:t xml:space="preserve"> гайками (9) и шайбами (10)</w:t>
      </w:r>
      <w:r w:rsidR="00C20EA3" w:rsidRPr="00295A61">
        <w:t>.</w:t>
      </w:r>
      <w:r w:rsidR="00C20EA3">
        <w:t xml:space="preserve"> Для предотвращения продольного перемещения </w:t>
      </w:r>
      <w:r w:rsidR="00773152">
        <w:t xml:space="preserve">вдоль оси </w:t>
      </w:r>
      <w:r w:rsidR="00C20EA3">
        <w:t>шарикоподшипник</w:t>
      </w:r>
      <w:r w:rsidR="00773152">
        <w:t>и</w:t>
      </w:r>
      <w:r w:rsidR="00C20EA3">
        <w:t xml:space="preserve"> «заперт</w:t>
      </w:r>
      <w:r w:rsidR="00773152">
        <w:t>ы</w:t>
      </w:r>
      <w:r w:rsidR="00C20EA3">
        <w:t>» стопорным</w:t>
      </w:r>
      <w:r w:rsidR="00773152">
        <w:t>и кольца</w:t>
      </w:r>
      <w:r w:rsidR="00C20EA3">
        <w:t>м</w:t>
      </w:r>
      <w:r w:rsidR="00773152">
        <w:t>и</w:t>
      </w:r>
      <w:r w:rsidR="00C20EA3">
        <w:t xml:space="preserve"> (</w:t>
      </w:r>
      <w:r w:rsidR="00773152">
        <w:t>15</w:t>
      </w:r>
      <w:r w:rsidR="00C20EA3">
        <w:t>)</w:t>
      </w:r>
      <w:r w:rsidR="00773152">
        <w:t xml:space="preserve">. </w:t>
      </w:r>
      <w:r w:rsidR="004F0A95">
        <w:t xml:space="preserve">Для присоединения к тандем-каретке различных </w:t>
      </w:r>
      <w:r w:rsidR="00773152" w:rsidRPr="00295A61">
        <w:t xml:space="preserve">СИЗ втягивающего типа </w:t>
      </w:r>
      <w:r w:rsidR="004F0A95">
        <w:t>предусмотрена проушина</w:t>
      </w:r>
      <w:r w:rsidR="00773152">
        <w:t xml:space="preserve"> (5)</w:t>
      </w:r>
      <w:r w:rsidR="004F0A95">
        <w:t>, жёстко закреплённая</w:t>
      </w:r>
      <w:r w:rsidR="00773152" w:rsidRPr="00295A61">
        <w:t xml:space="preserve"> к распорной штанге посредине</w:t>
      </w:r>
      <w:r w:rsidR="00773152">
        <w:t xml:space="preserve"> (Рис.1)</w:t>
      </w:r>
      <w:r w:rsidR="00773152" w:rsidRPr="00295A61">
        <w:t>.</w:t>
      </w:r>
    </w:p>
    <w:p w:rsidR="00A17D19" w:rsidRPr="001A5391" w:rsidRDefault="00A17D19" w:rsidP="00A17D19">
      <w:pPr>
        <w:pStyle w:val="a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62447" cy="27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4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19" w:rsidRPr="00F1073E" w:rsidRDefault="00A17D19" w:rsidP="00A17D19">
      <w:pPr>
        <w:pStyle w:val="a9"/>
        <w:jc w:val="center"/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</w:t>
      </w:r>
      <w:r>
        <w:rPr>
          <w:noProof/>
        </w:rPr>
        <w:t>Схематическое устройство тандем-каретки</w:t>
      </w:r>
    </w:p>
    <w:p w:rsidR="00A17D19" w:rsidRDefault="00A17D19" w:rsidP="00A17D19">
      <w:pPr>
        <w:pStyle w:val="a9"/>
      </w:pPr>
    </w:p>
    <w:p w:rsidR="00A17D19" w:rsidRDefault="00A17D19" w:rsidP="00A17D19">
      <w:pPr>
        <w:pStyle w:val="a9"/>
        <w:ind w:firstLine="348"/>
        <w:jc w:val="both"/>
      </w:pPr>
      <w:r>
        <w:t>2.4. Т</w:t>
      </w:r>
      <w:r w:rsidR="00295A61" w:rsidRPr="00295A61">
        <w:t>андем-каретка перемещается вдоль горизонтальной балки, обеспечивая безопасное передвижение пользователя по горизонтали вдоль траектории движения тележки</w:t>
      </w:r>
      <w:r>
        <w:t>, при этом ф</w:t>
      </w:r>
      <w:r w:rsidR="00295A61" w:rsidRPr="00295A61">
        <w:t>ункцию линейной направляющей выполняет стальной стандартный балочный металл</w:t>
      </w:r>
      <w:r>
        <w:t xml:space="preserve">ический </w:t>
      </w:r>
      <w:r w:rsidR="00295A61" w:rsidRPr="00295A61">
        <w:t xml:space="preserve">профиль типа тавр или </w:t>
      </w:r>
      <w:proofErr w:type="spellStart"/>
      <w:r w:rsidR="00295A61" w:rsidRPr="00295A61">
        <w:t>двутавр</w:t>
      </w:r>
      <w:proofErr w:type="spellEnd"/>
      <w:r>
        <w:t xml:space="preserve">, который </w:t>
      </w:r>
      <w:r w:rsidR="00295A61" w:rsidRPr="00295A61">
        <w:t>мо</w:t>
      </w:r>
      <w:r>
        <w:t>же</w:t>
      </w:r>
      <w:r w:rsidR="00295A61" w:rsidRPr="00295A61">
        <w:t xml:space="preserve">т быть или нижним элементом металлоконструкции (например, фермы), или </w:t>
      </w:r>
      <w:r w:rsidR="0092115C">
        <w:t xml:space="preserve">балка </w:t>
      </w:r>
      <w:r w:rsidR="00295A61" w:rsidRPr="00295A61">
        <w:t>должн</w:t>
      </w:r>
      <w:r w:rsidR="0092115C">
        <w:t>а</w:t>
      </w:r>
      <w:r w:rsidR="00295A61" w:rsidRPr="00295A61">
        <w:t xml:space="preserve"> быть прикреплен</w:t>
      </w:r>
      <w:r w:rsidR="0092115C">
        <w:t>а</w:t>
      </w:r>
      <w:r w:rsidR="00295A61" w:rsidRPr="00295A61">
        <w:t xml:space="preserve"> к любой другой несущей конструкции.</w:t>
      </w:r>
    </w:p>
    <w:p w:rsidR="00C01E85" w:rsidRDefault="00A17D19" w:rsidP="00A17D19">
      <w:pPr>
        <w:pStyle w:val="a9"/>
        <w:ind w:firstLine="348"/>
        <w:jc w:val="both"/>
        <w:rPr>
          <w:color w:val="333333"/>
          <w:shd w:val="clear" w:color="auto" w:fill="FFFFFF"/>
        </w:rPr>
      </w:pPr>
      <w:r>
        <w:t xml:space="preserve">2.5. </w:t>
      </w:r>
      <w:r w:rsidR="009A2734" w:rsidRPr="009A2734">
        <w:rPr>
          <w:rStyle w:val="a3"/>
          <w:rFonts w:eastAsiaTheme="majorEastAsia"/>
          <w:color w:val="333333"/>
          <w:shd w:val="clear" w:color="auto" w:fill="FFFFFF"/>
        </w:rPr>
        <w:t>Балочная тандем-каретка</w:t>
      </w:r>
      <w:r w:rsidR="009A2734" w:rsidRPr="009A2734">
        <w:rPr>
          <w:color w:val="333333"/>
          <w:shd w:val="clear" w:color="auto" w:fill="FFFFFF"/>
        </w:rPr>
        <w:t> перемещается вдоль горизонтальной балки на четырёх опорных роликах, тем самым обеспечивая безопасное передвижение пользователя по горизонтали вдоль траектории движения тележки.</w:t>
      </w:r>
    </w:p>
    <w:p w:rsidR="00295A61" w:rsidRPr="009A2734" w:rsidRDefault="009A2734" w:rsidP="00A17D19">
      <w:pPr>
        <w:pStyle w:val="a9"/>
        <w:ind w:firstLine="348"/>
        <w:jc w:val="both"/>
      </w:pPr>
      <w:r w:rsidRPr="009A2734">
        <w:rPr>
          <w:rStyle w:val="a5"/>
          <w:color w:val="B22222"/>
          <w:shd w:val="clear" w:color="auto" w:fill="FFFFFF"/>
        </w:rPr>
        <w:t>ВНИМАНИЕ! Для предотвращения схода тележки с балки, на обоих концах балки должны быть установлены концевые ограничители с демпфером.</w:t>
      </w:r>
    </w:p>
    <w:p w:rsidR="0092115C" w:rsidRDefault="00967A49" w:rsidP="0092115C">
      <w:pPr>
        <w:pStyle w:val="a9"/>
        <w:ind w:firstLine="348"/>
        <w:jc w:val="both"/>
      </w:pPr>
      <w:r>
        <w:t>2.</w:t>
      </w:r>
      <w:r w:rsidR="00A17D19">
        <w:t>6</w:t>
      </w:r>
      <w:r>
        <w:t xml:space="preserve">. Все элементы </w:t>
      </w:r>
      <w:r w:rsidR="00A17D19">
        <w:t>тандем-каретки</w:t>
      </w:r>
      <w:r>
        <w:t xml:space="preserve"> (кроме роликов) изготовлены</w:t>
      </w:r>
      <w:r w:rsidRPr="007A7478">
        <w:t xml:space="preserve"> из конструкционной стали,</w:t>
      </w:r>
      <w:r>
        <w:t xml:space="preserve"> р</w:t>
      </w:r>
      <w:r w:rsidRPr="007A7478">
        <w:t>олики – из термообработанной легированной стали.</w:t>
      </w:r>
    </w:p>
    <w:p w:rsidR="0092115C" w:rsidRPr="00AF74CE" w:rsidRDefault="0092115C" w:rsidP="0092115C">
      <w:pPr>
        <w:pStyle w:val="a9"/>
        <w:ind w:firstLine="348"/>
        <w:jc w:val="both"/>
      </w:pPr>
      <w:r w:rsidRPr="00AF74CE">
        <w:t xml:space="preserve">Под заказ возможно изготовление тандем-каретки в искробезопасном исполнении: с роликами из круглой бронзы и отбойниками </w:t>
      </w:r>
      <w:r w:rsidR="009A2734">
        <w:t xml:space="preserve">(пластинами-протекторами) </w:t>
      </w:r>
      <w:r w:rsidRPr="00AF74CE">
        <w:t>из листовой латуни.</w:t>
      </w:r>
    </w:p>
    <w:p w:rsidR="00967A49" w:rsidRDefault="00967A49" w:rsidP="00967A49">
      <w:pPr>
        <w:pStyle w:val="a9"/>
        <w:ind w:firstLine="348"/>
        <w:jc w:val="both"/>
      </w:pPr>
      <w:r>
        <w:t>2.</w:t>
      </w:r>
      <w:r w:rsidR="00A17D19">
        <w:t>7</w:t>
      </w:r>
      <w:r>
        <w:t>. С целью защиты и улучшения внешнего вида на изделие</w:t>
      </w:r>
      <w:r w:rsidRPr="007A7478">
        <w:t xml:space="preserve"> нан</w:t>
      </w:r>
      <w:r>
        <w:t>осится защитно-декоративное</w:t>
      </w:r>
      <w:r w:rsidRPr="007A7478">
        <w:t xml:space="preserve"> специально</w:t>
      </w:r>
      <w:r>
        <w:t xml:space="preserve">е порошковое </w:t>
      </w:r>
      <w:r w:rsidRPr="007A7478">
        <w:t>покрыти</w:t>
      </w:r>
      <w:r>
        <w:t>е, что делает возможным его всесезонную эксплуатацию без опасности быть подверженным коррозии.</w:t>
      </w:r>
    </w:p>
    <w:p w:rsidR="00022BBC" w:rsidRPr="00967A49" w:rsidRDefault="00A17D19" w:rsidP="00967A49">
      <w:pPr>
        <w:pStyle w:val="a9"/>
        <w:ind w:firstLine="348"/>
        <w:jc w:val="both"/>
      </w:pPr>
      <w:r>
        <w:t>2.8</w:t>
      </w:r>
      <w:r w:rsidR="00967A49">
        <w:t xml:space="preserve">. </w:t>
      </w:r>
      <w:r w:rsidR="00D550AB">
        <w:t>Тандем-каретка и</w:t>
      </w:r>
      <w:r w:rsidR="00022BBC">
        <w:t>меет климатическое исполнение УХЛ1.</w:t>
      </w:r>
      <w:r w:rsidR="009A2734">
        <w:t xml:space="preserve"> </w:t>
      </w:r>
    </w:p>
    <w:p w:rsidR="00961F51" w:rsidRDefault="00A17D19" w:rsidP="00961F51">
      <w:pPr>
        <w:pStyle w:val="a9"/>
        <w:ind w:firstLine="348"/>
        <w:jc w:val="both"/>
      </w:pPr>
      <w:r>
        <w:t>2.9</w:t>
      </w:r>
      <w:r w:rsidR="00961F51" w:rsidRPr="00961F51">
        <w:t>.</w:t>
      </w:r>
      <w:r w:rsidR="00961F51">
        <w:t xml:space="preserve"> </w:t>
      </w:r>
      <w:r w:rsidR="00300D84" w:rsidRPr="00961F51">
        <w:t xml:space="preserve">Изделие </w:t>
      </w:r>
      <w:r w:rsidR="0092115C">
        <w:t>сертифицировано</w:t>
      </w:r>
      <w:r w:rsidR="00967A49">
        <w:t xml:space="preserve"> и</w:t>
      </w:r>
      <w:r w:rsidR="00300D84" w:rsidRPr="00961F51">
        <w:t xml:space="preserve"> проходит первичную п</w:t>
      </w:r>
      <w:r w:rsidR="009A2734">
        <w:t>р</w:t>
      </w:r>
      <w:r w:rsidR="00300D84" w:rsidRPr="00961F51">
        <w:t>оверку при отправке покупателю.</w:t>
      </w:r>
    </w:p>
    <w:p w:rsidR="00967A49" w:rsidRDefault="00967A49" w:rsidP="00961F51">
      <w:pPr>
        <w:pStyle w:val="a9"/>
        <w:ind w:firstLine="348"/>
        <w:jc w:val="both"/>
      </w:pPr>
    </w:p>
    <w:p w:rsidR="00961F51" w:rsidRPr="00961F51" w:rsidRDefault="00961F51" w:rsidP="00961F51">
      <w:pPr>
        <w:pStyle w:val="a9"/>
        <w:ind w:firstLine="348"/>
        <w:jc w:val="both"/>
        <w:rPr>
          <w:b/>
        </w:rPr>
      </w:pPr>
      <w:r w:rsidRPr="00961F51">
        <w:rPr>
          <w:b/>
        </w:rPr>
        <w:t>Технические характеристики:</w:t>
      </w:r>
    </w:p>
    <w:p w:rsidR="00A17D19" w:rsidRPr="00AF74CE" w:rsidRDefault="00A17D19" w:rsidP="0092115C">
      <w:pPr>
        <w:pStyle w:val="a9"/>
        <w:numPr>
          <w:ilvl w:val="0"/>
          <w:numId w:val="31"/>
        </w:numPr>
      </w:pPr>
      <w:r w:rsidRPr="00AF74CE">
        <w:t xml:space="preserve">Предельная рабочая нагрузка (WLL — </w:t>
      </w:r>
      <w:proofErr w:type="spellStart"/>
      <w:r w:rsidRPr="00AF74CE">
        <w:t>Working</w:t>
      </w:r>
      <w:proofErr w:type="spellEnd"/>
      <w:r w:rsidRPr="00AF74CE">
        <w:t xml:space="preserve"> </w:t>
      </w:r>
      <w:proofErr w:type="spellStart"/>
      <w:r w:rsidRPr="00AF74CE">
        <w:t>Load</w:t>
      </w:r>
      <w:proofErr w:type="spellEnd"/>
      <w:r w:rsidRPr="00AF74CE">
        <w:t xml:space="preserve"> </w:t>
      </w:r>
      <w:proofErr w:type="spellStart"/>
      <w:r w:rsidRPr="00AF74CE">
        <w:t>Limit</w:t>
      </w:r>
      <w:proofErr w:type="spellEnd"/>
      <w:r w:rsidRPr="00AF74CE">
        <w:t>):</w:t>
      </w:r>
    </w:p>
    <w:p w:rsidR="00A17D19" w:rsidRPr="00AF74CE" w:rsidRDefault="00A17D19" w:rsidP="0092115C">
      <w:pPr>
        <w:pStyle w:val="a9"/>
        <w:numPr>
          <w:ilvl w:val="0"/>
          <w:numId w:val="31"/>
        </w:numPr>
      </w:pPr>
      <w:r w:rsidRPr="00AF74CE">
        <w:t>для ширины основания тавра более 81 мм</w:t>
      </w:r>
      <w:r w:rsidR="00AF7526">
        <w:t xml:space="preserve"> (</w:t>
      </w:r>
      <w:r w:rsidR="00AF7526">
        <w:rPr>
          <w:bCs/>
        </w:rPr>
        <w:t>КВАДРО+</w:t>
      </w:r>
      <w:r w:rsidR="00AF7526">
        <w:t>)</w:t>
      </w:r>
      <w:r w:rsidRPr="00AF74CE">
        <w:t>: </w:t>
      </w:r>
      <w:r w:rsidRPr="00AF74CE">
        <w:rPr>
          <w:b/>
          <w:bCs/>
        </w:rPr>
        <w:t>не менее 15 кН</w:t>
      </w:r>
    </w:p>
    <w:p w:rsidR="00A17D19" w:rsidRPr="00AF74CE" w:rsidRDefault="00A17D19" w:rsidP="0092115C">
      <w:pPr>
        <w:pStyle w:val="a9"/>
        <w:numPr>
          <w:ilvl w:val="0"/>
          <w:numId w:val="31"/>
        </w:numPr>
      </w:pPr>
      <w:r w:rsidRPr="00AF74CE">
        <w:t>для ширины основания тавра менее 81 мм</w:t>
      </w:r>
      <w:r w:rsidR="00AF7526">
        <w:t xml:space="preserve"> (КВАДРО)</w:t>
      </w:r>
      <w:r w:rsidRPr="00AF74CE">
        <w:t>: </w:t>
      </w:r>
      <w:r w:rsidRPr="00AF74CE">
        <w:rPr>
          <w:b/>
          <w:bCs/>
        </w:rPr>
        <w:t>не менее 30 кН</w:t>
      </w:r>
    </w:p>
    <w:p w:rsidR="00A17D19" w:rsidRPr="00AF74CE" w:rsidRDefault="00A17D19" w:rsidP="0092115C">
      <w:pPr>
        <w:pStyle w:val="a9"/>
        <w:numPr>
          <w:ilvl w:val="0"/>
          <w:numId w:val="31"/>
        </w:numPr>
      </w:pPr>
      <w:r w:rsidRPr="00AF74CE">
        <w:t>Вес: </w:t>
      </w:r>
      <w:r w:rsidR="003544FA">
        <w:t xml:space="preserve">КВАДРО – </w:t>
      </w:r>
      <w:r w:rsidRPr="00AF74CE">
        <w:rPr>
          <w:b/>
          <w:bCs/>
        </w:rPr>
        <w:t>5,2 кг</w:t>
      </w:r>
      <w:r w:rsidR="003544FA">
        <w:rPr>
          <w:bCs/>
        </w:rPr>
        <w:t xml:space="preserve">; КВАДРО+ </w:t>
      </w:r>
      <w:r w:rsidR="003544FA">
        <w:t xml:space="preserve">– </w:t>
      </w:r>
      <w:r w:rsidR="003544FA">
        <w:rPr>
          <w:b/>
          <w:bCs/>
        </w:rPr>
        <w:t>5,9 кг</w:t>
      </w:r>
    </w:p>
    <w:p w:rsidR="00961F51" w:rsidRDefault="00961F51" w:rsidP="00A17D19">
      <w:pPr>
        <w:pStyle w:val="a9"/>
        <w:jc w:val="both"/>
      </w:pPr>
    </w:p>
    <w:p w:rsidR="00B17D80" w:rsidRDefault="00B17D80" w:rsidP="00961F51">
      <w:pPr>
        <w:pStyle w:val="a9"/>
        <w:ind w:firstLine="348"/>
        <w:jc w:val="both"/>
        <w:rPr>
          <w:color w:val="333333"/>
          <w:shd w:val="clear" w:color="auto" w:fill="FFFFFF"/>
        </w:rPr>
      </w:pPr>
      <w:r>
        <w:t xml:space="preserve">2.10. </w:t>
      </w:r>
      <w:r w:rsidRPr="00726B5C">
        <w:rPr>
          <w:color w:val="333333"/>
          <w:shd w:val="clear" w:color="auto" w:fill="FFFFFF"/>
        </w:rPr>
        <w:t>При использовании </w:t>
      </w:r>
      <w:r w:rsidRPr="00B17D80">
        <w:rPr>
          <w:rStyle w:val="a3"/>
          <w:rFonts w:eastAsiaTheme="majorEastAsia"/>
          <w:i w:val="0"/>
          <w:color w:val="333333"/>
          <w:shd w:val="clear" w:color="auto" w:fill="FFFFFF"/>
        </w:rPr>
        <w:t>тандем-каретки «КВАДРО»</w:t>
      </w:r>
      <w:r w:rsidRPr="00B17D80">
        <w:rPr>
          <w:i/>
          <w:color w:val="333333"/>
          <w:shd w:val="clear" w:color="auto" w:fill="FFFFFF"/>
        </w:rPr>
        <w:t> </w:t>
      </w:r>
      <w:r w:rsidRPr="00B17D80">
        <w:rPr>
          <w:color w:val="333333"/>
          <w:shd w:val="clear" w:color="auto" w:fill="FFFFFF"/>
        </w:rPr>
        <w:t>на балках с шириной основания более 81 мм (номер профиля выше 16-го), необходимо использовать</w:t>
      </w:r>
      <w:r w:rsidRPr="00726B5C">
        <w:rPr>
          <w:color w:val="333333"/>
          <w:shd w:val="clear" w:color="auto" w:fill="FFFFFF"/>
        </w:rPr>
        <w:t xml:space="preserve"> тележку «КВАДРО+» или приобрести универсальную соединительную штангу, позволяющую регулировать расстояние между щеками каретки под диапазон от 50 до 250 мм.</w:t>
      </w:r>
    </w:p>
    <w:p w:rsidR="00B17D80" w:rsidRDefault="00B17D80" w:rsidP="00B17D80">
      <w:pPr>
        <w:pStyle w:val="a9"/>
        <w:ind w:firstLine="348"/>
        <w:jc w:val="both"/>
      </w:pPr>
      <w:r w:rsidRPr="00961F51">
        <w:t>2.</w:t>
      </w:r>
      <w:r>
        <w:t>1</w:t>
      </w:r>
      <w:r w:rsidR="00E20F21">
        <w:t>1</w:t>
      </w:r>
      <w:r w:rsidRPr="00961F51">
        <w:t>.</w:t>
      </w:r>
      <w:r>
        <w:t xml:space="preserve"> Габаритные и присоединительные размеры тандем-кареток </w:t>
      </w:r>
      <w:r w:rsidRPr="00B17D80">
        <w:rPr>
          <w:rStyle w:val="a3"/>
          <w:rFonts w:eastAsiaTheme="majorEastAsia"/>
          <w:i w:val="0"/>
          <w:color w:val="333333"/>
          <w:shd w:val="clear" w:color="auto" w:fill="FFFFFF"/>
        </w:rPr>
        <w:t>«КВАДРО»</w:t>
      </w:r>
      <w:r>
        <w:t xml:space="preserve"> и </w:t>
      </w:r>
      <w:r w:rsidRPr="00726B5C">
        <w:rPr>
          <w:color w:val="333333"/>
          <w:shd w:val="clear" w:color="auto" w:fill="FFFFFF"/>
        </w:rPr>
        <w:t>«КВАДРО+»</w:t>
      </w:r>
      <w:r w:rsidR="00E20F21">
        <w:t xml:space="preserve"> </w:t>
      </w:r>
      <w:r>
        <w:t>представлены на рисунке (Рис.2).</w:t>
      </w:r>
    </w:p>
    <w:p w:rsidR="00B17D80" w:rsidRDefault="00B17D80" w:rsidP="00961F51">
      <w:pPr>
        <w:pStyle w:val="a9"/>
        <w:ind w:firstLine="348"/>
        <w:jc w:val="both"/>
      </w:pPr>
    </w:p>
    <w:p w:rsidR="001350C8" w:rsidRDefault="00DE4ADD" w:rsidP="00D15896">
      <w:pPr>
        <w:pStyle w:val="a9"/>
        <w:ind w:firstLine="348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79540" cy="325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2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96" w:rsidRDefault="001350C8" w:rsidP="00D15896">
      <w:pPr>
        <w:pStyle w:val="a9"/>
        <w:ind w:firstLine="348"/>
        <w:jc w:val="center"/>
      </w:pPr>
      <w:r>
        <w:rPr>
          <w:noProof/>
        </w:rPr>
        <w:t>Балочная тандем-каретка «КВАДРО»</w:t>
      </w:r>
      <w:r w:rsidR="005321D4" w:rsidRPr="005321D4">
        <w:rPr>
          <w:noProof/>
        </w:rPr>
        <w:t xml:space="preserve"> </w:t>
      </w:r>
    </w:p>
    <w:p w:rsidR="009A2734" w:rsidRDefault="00590F9F" w:rsidP="0020226E">
      <w:pPr>
        <w:pStyle w:val="a9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134864" cy="28660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chnaya_tandem-karetka_kvadro_plus_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5" b="15491"/>
                    <a:stretch/>
                  </pic:blipFill>
                  <pic:spPr bwMode="auto">
                    <a:xfrm>
                      <a:off x="0" y="0"/>
                      <a:ext cx="4141230" cy="287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50C8" w:rsidRDefault="001350C8" w:rsidP="001350C8">
      <w:pPr>
        <w:pStyle w:val="a9"/>
        <w:jc w:val="center"/>
        <w:rPr>
          <w:noProof/>
        </w:rPr>
      </w:pPr>
      <w:r>
        <w:rPr>
          <w:noProof/>
        </w:rPr>
        <w:t>Балочная тандем-каретка «КВАДРО+»</w:t>
      </w:r>
    </w:p>
    <w:p w:rsidR="001350C8" w:rsidRDefault="001350C8" w:rsidP="0020226E">
      <w:pPr>
        <w:pStyle w:val="a9"/>
        <w:jc w:val="center"/>
        <w:rPr>
          <w:noProof/>
        </w:rPr>
      </w:pPr>
    </w:p>
    <w:p w:rsidR="0020226E" w:rsidRDefault="0020226E" w:rsidP="0020226E">
      <w:pPr>
        <w:pStyle w:val="a9"/>
        <w:jc w:val="center"/>
        <w:rPr>
          <w:color w:val="333333"/>
          <w:shd w:val="clear" w:color="auto" w:fill="FFFFFF"/>
        </w:rPr>
      </w:pPr>
      <w:r w:rsidRPr="009D6351">
        <w:rPr>
          <w:b/>
          <w:noProof/>
        </w:rPr>
        <w:t>Рис.</w:t>
      </w:r>
      <w:r>
        <w:rPr>
          <w:b/>
          <w:noProof/>
        </w:rPr>
        <w:t>2</w:t>
      </w:r>
      <w:r w:rsidRPr="009D6351">
        <w:rPr>
          <w:b/>
          <w:noProof/>
        </w:rPr>
        <w:t>.</w:t>
      </w:r>
      <w:r w:rsidRPr="00F1073E">
        <w:rPr>
          <w:noProof/>
        </w:rPr>
        <w:t xml:space="preserve"> </w:t>
      </w:r>
      <w:r>
        <w:rPr>
          <w:noProof/>
        </w:rPr>
        <w:t>Габаритные и присоединительные размеры тандем-каретки.</w:t>
      </w:r>
    </w:p>
    <w:p w:rsidR="00726B5C" w:rsidRDefault="00726B5C" w:rsidP="00726B5C">
      <w:pPr>
        <w:pStyle w:val="a9"/>
        <w:rPr>
          <w:rStyle w:val="a5"/>
          <w:color w:val="000000"/>
          <w:sz w:val="28"/>
          <w:szCs w:val="28"/>
        </w:rPr>
      </w:pPr>
    </w:p>
    <w:p w:rsidR="00172A18" w:rsidRDefault="00172A18" w:rsidP="00EE751E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37095C" w:rsidRDefault="00F02CD0" w:rsidP="0037095C">
      <w:pPr>
        <w:pStyle w:val="a9"/>
        <w:ind w:firstLine="284"/>
        <w:jc w:val="both"/>
        <w:rPr>
          <w:color w:val="333333"/>
        </w:rPr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="001E3CB7" w:rsidRPr="001E3CB7">
        <w:rPr>
          <w:rStyle w:val="a5"/>
          <w:i/>
          <w:color w:val="000000"/>
        </w:rPr>
        <w:t xml:space="preserve">Тандем-каретка </w:t>
      </w:r>
      <w:r w:rsidR="00187208" w:rsidRPr="001E3CB7">
        <w:rPr>
          <w:rStyle w:val="a5"/>
          <w:i/>
          <w:color w:val="000000"/>
        </w:rPr>
        <w:t>«</w:t>
      </w:r>
      <w:r w:rsidR="0037095C">
        <w:rPr>
          <w:rStyle w:val="a5"/>
          <w:i/>
          <w:color w:val="000000"/>
        </w:rPr>
        <w:t>КВАДРО</w:t>
      </w:r>
      <w:r w:rsidR="00187208" w:rsidRPr="001E3CB7">
        <w:rPr>
          <w:rStyle w:val="a5"/>
          <w:i/>
          <w:color w:val="000000"/>
        </w:rPr>
        <w:t>»</w:t>
      </w:r>
      <w:r w:rsidR="00187208" w:rsidRPr="00BE1A34">
        <w:t> </w:t>
      </w:r>
      <w:r w:rsidR="00187208">
        <w:t>используется</w:t>
      </w:r>
      <w:r w:rsidR="00187208" w:rsidRPr="00BE1A34">
        <w:t xml:space="preserve"> как </w:t>
      </w:r>
      <w:r w:rsidR="001E3CB7">
        <w:t>самостоятельный компонент</w:t>
      </w:r>
      <w:r w:rsidR="0037095C">
        <w:t xml:space="preserve"> стационарных </w:t>
      </w:r>
      <w:r w:rsidR="0037095C" w:rsidRPr="001F566C">
        <w:t>горизонтальных</w:t>
      </w:r>
      <w:r w:rsidR="0037095C">
        <w:t xml:space="preserve"> жестких </w:t>
      </w:r>
      <w:r w:rsidR="0037095C" w:rsidRPr="001F566C">
        <w:t>систем защиты от падения с высоты балочного типа</w:t>
      </w:r>
      <w:r w:rsidR="0037095C">
        <w:t xml:space="preserve"> и о</w:t>
      </w:r>
      <w:r w:rsidR="0037095C" w:rsidRPr="001F566C">
        <w:t>беспечивает непрерывность страховки</w:t>
      </w:r>
      <w:r w:rsidR="0037095C">
        <w:rPr>
          <w:color w:val="333333"/>
        </w:rPr>
        <w:t>.</w:t>
      </w:r>
    </w:p>
    <w:p w:rsidR="0037095C" w:rsidRDefault="0037095C" w:rsidP="0037095C">
      <w:pPr>
        <w:pStyle w:val="a9"/>
        <w:ind w:firstLine="284"/>
        <w:jc w:val="both"/>
      </w:pPr>
      <w:r>
        <w:rPr>
          <w:color w:val="333333"/>
        </w:rPr>
        <w:t xml:space="preserve">3.2. </w:t>
      </w:r>
      <w:r w:rsidR="00252687" w:rsidRPr="00AF74CE">
        <w:t>Преимуществом использования</w:t>
      </w:r>
      <w:r>
        <w:t xml:space="preserve"> тандем-карет</w:t>
      </w:r>
      <w:r w:rsidR="005321D4">
        <w:t>о</w:t>
      </w:r>
      <w:r>
        <w:t>к</w:t>
      </w:r>
      <w:r w:rsidR="005321D4">
        <w:t xml:space="preserve"> </w:t>
      </w:r>
      <w:r w:rsidR="005321D4" w:rsidRPr="001E3CB7">
        <w:rPr>
          <w:rStyle w:val="a5"/>
          <w:i/>
          <w:color w:val="000000"/>
        </w:rPr>
        <w:t>«</w:t>
      </w:r>
      <w:r w:rsidR="005321D4">
        <w:rPr>
          <w:rStyle w:val="a5"/>
          <w:i/>
          <w:color w:val="000000"/>
        </w:rPr>
        <w:t>КВАДРО</w:t>
      </w:r>
      <w:r w:rsidR="005321D4" w:rsidRPr="001E3CB7">
        <w:rPr>
          <w:rStyle w:val="a5"/>
          <w:i/>
          <w:color w:val="000000"/>
        </w:rPr>
        <w:t>»</w:t>
      </w:r>
      <w:r w:rsidR="005321D4" w:rsidRPr="00BE1A34">
        <w:t> </w:t>
      </w:r>
      <w:r w:rsidR="00252687" w:rsidRPr="00AF74CE">
        <w:t>является устройство простейших горизонтальных жёстких систем страховки, в которых перемещаемые пользователем подвижные анкерные точки могут быть расположены над головой пользователя вне его досягаемости.</w:t>
      </w:r>
      <w:r w:rsidR="009A2734" w:rsidRPr="009A2734">
        <w:t xml:space="preserve"> </w:t>
      </w:r>
      <w:r w:rsidR="009A2734" w:rsidRPr="00295A61">
        <w:t>Для перемещения работника в вертикальном направлении (например, подъём или спуск с цистерн, вагонов, автомобилей) он должен быть присоединён к тандем-каретке с помощью самотормозящих СИЗ втягивающего типа.</w:t>
      </w:r>
    </w:p>
    <w:p w:rsidR="00252687" w:rsidRPr="00AF74CE" w:rsidRDefault="0037095C" w:rsidP="0037095C">
      <w:pPr>
        <w:pStyle w:val="a9"/>
        <w:ind w:firstLine="284"/>
        <w:jc w:val="both"/>
      </w:pPr>
      <w:r>
        <w:t xml:space="preserve">3.3. </w:t>
      </w:r>
      <w:r w:rsidR="00252687" w:rsidRPr="00AF74CE">
        <w:t>Из-за своей универсальности, простоты и минимального обслуживания горизонтальная жёсткая балочная система с</w:t>
      </w:r>
      <w:r>
        <w:t xml:space="preserve"> тандем-кареткой</w:t>
      </w:r>
      <w:r w:rsidR="00252687" w:rsidRPr="00AF74CE">
        <w:t> является идеальным решением для инженеров, архитекторов и подрядчиков для обеспечения безопасного доступа на промышленные объекты, железнодорожные вагоны, эстакады, мосты и т. д.</w:t>
      </w:r>
    </w:p>
    <w:p w:rsidR="00804F98" w:rsidRDefault="00F02CD0" w:rsidP="00185A87">
      <w:pPr>
        <w:pStyle w:val="a9"/>
        <w:ind w:firstLine="284"/>
        <w:jc w:val="both"/>
        <w:rPr>
          <w:i/>
        </w:rPr>
      </w:pPr>
      <w:r>
        <w:lastRenderedPageBreak/>
        <w:t>3.</w:t>
      </w:r>
      <w:r w:rsidR="0037095C">
        <w:t>4</w:t>
      </w:r>
      <w:r>
        <w:t xml:space="preserve">. </w:t>
      </w:r>
      <w:r w:rsidR="00AB3CB8" w:rsidRPr="00AB3CB8">
        <w:rPr>
          <w:i/>
        </w:rPr>
        <w:t xml:space="preserve">Внимание! </w:t>
      </w:r>
      <w:r w:rsidR="00187208" w:rsidRPr="00AB3CB8">
        <w:rPr>
          <w:i/>
        </w:rPr>
        <w:t xml:space="preserve">Перед использованием данного оборудования </w:t>
      </w:r>
      <w:r w:rsidR="00A64F3B">
        <w:rPr>
          <w:i/>
        </w:rPr>
        <w:t>необходимо</w:t>
      </w:r>
      <w:r w:rsidR="00187208" w:rsidRPr="00AB3CB8">
        <w:rPr>
          <w:i/>
        </w:rPr>
        <w:t>:</w:t>
      </w:r>
    </w:p>
    <w:p w:rsidR="00804F98" w:rsidRPr="000E22AD" w:rsidRDefault="00804F98" w:rsidP="00185A87">
      <w:pPr>
        <w:pStyle w:val="a9"/>
        <w:numPr>
          <w:ilvl w:val="0"/>
          <w:numId w:val="13"/>
        </w:numPr>
        <w:jc w:val="both"/>
      </w:pPr>
      <w:r w:rsidRPr="000E22AD">
        <w:t>Прочитать настоящий паспорт и понять инструкцию по эксплуатации.</w:t>
      </w:r>
    </w:p>
    <w:p w:rsidR="00804F98" w:rsidRPr="000E22AD" w:rsidRDefault="00804F98" w:rsidP="00185A87">
      <w:pPr>
        <w:pStyle w:val="a9"/>
        <w:numPr>
          <w:ilvl w:val="0"/>
          <w:numId w:val="13"/>
        </w:numPr>
        <w:jc w:val="both"/>
      </w:pPr>
      <w:r w:rsidRPr="000E22AD">
        <w:t>Пройти специальную тренировку по его применению.</w:t>
      </w:r>
    </w:p>
    <w:p w:rsidR="00804F98" w:rsidRPr="000E22AD" w:rsidRDefault="00804F98" w:rsidP="00185A87">
      <w:pPr>
        <w:pStyle w:val="a9"/>
        <w:numPr>
          <w:ilvl w:val="0"/>
          <w:numId w:val="13"/>
        </w:numPr>
        <w:jc w:val="both"/>
      </w:pPr>
      <w:r w:rsidRPr="000E22AD">
        <w:t>Познакомиться с потенциальными возможностями изделия и ограничениями по его применению.</w:t>
      </w:r>
    </w:p>
    <w:p w:rsidR="00804F98" w:rsidRPr="000E22AD" w:rsidRDefault="00804F98" w:rsidP="00185A87">
      <w:pPr>
        <w:pStyle w:val="a9"/>
        <w:numPr>
          <w:ilvl w:val="0"/>
          <w:numId w:val="13"/>
        </w:numPr>
        <w:jc w:val="both"/>
      </w:pPr>
      <w:r w:rsidRPr="000E22AD">
        <w:t xml:space="preserve">Осознать и принять вероятность возникновения рисков, связанных с применением этого </w:t>
      </w:r>
      <w:r w:rsidR="00ED44E5">
        <w:t>оборудования</w:t>
      </w:r>
      <w:r w:rsidRPr="000E22AD">
        <w:t>.</w:t>
      </w:r>
    </w:p>
    <w:p w:rsidR="00804F98" w:rsidRDefault="00804F98" w:rsidP="00185A87">
      <w:pPr>
        <w:pStyle w:val="a9"/>
        <w:numPr>
          <w:ilvl w:val="0"/>
          <w:numId w:val="13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 w:rsidR="00ED44E5">
        <w:t>оборудования</w:t>
      </w:r>
      <w:r w:rsidRPr="000E22AD">
        <w:t>.</w:t>
      </w:r>
    </w:p>
    <w:p w:rsidR="009A2734" w:rsidRDefault="009A2734" w:rsidP="009A2734">
      <w:pPr>
        <w:pStyle w:val="a9"/>
        <w:ind w:firstLine="360"/>
        <w:jc w:val="both"/>
      </w:pPr>
      <w:r>
        <w:t>3.5. Монтаж тандем-каретки, осуществляется в следующем порядке:</w:t>
      </w:r>
    </w:p>
    <w:p w:rsidR="009A2734" w:rsidRDefault="009A2734" w:rsidP="009A2734">
      <w:pPr>
        <w:pStyle w:val="a9"/>
        <w:numPr>
          <w:ilvl w:val="0"/>
          <w:numId w:val="13"/>
        </w:numPr>
        <w:jc w:val="both"/>
      </w:pPr>
      <w:r>
        <w:t>Н</w:t>
      </w:r>
      <w:r w:rsidRPr="00D17A9F">
        <w:t>еобходимо раскрутить гайки</w:t>
      </w:r>
      <w:r>
        <w:t>, фиксирующие распорные</w:t>
      </w:r>
      <w:r w:rsidRPr="00D17A9F">
        <w:t xml:space="preserve"> штанг</w:t>
      </w:r>
      <w:r>
        <w:t>и</w:t>
      </w:r>
      <w:r w:rsidRPr="00D17A9F">
        <w:t xml:space="preserve"> к о</w:t>
      </w:r>
      <w:r>
        <w:t xml:space="preserve">беим </w:t>
      </w:r>
      <w:r w:rsidRPr="00D17A9F">
        <w:t>щёк</w:t>
      </w:r>
      <w:r>
        <w:t>ам.</w:t>
      </w:r>
    </w:p>
    <w:p w:rsidR="009A2734" w:rsidRDefault="009A2734" w:rsidP="009A2734">
      <w:pPr>
        <w:pStyle w:val="a9"/>
        <w:numPr>
          <w:ilvl w:val="0"/>
          <w:numId w:val="13"/>
        </w:numPr>
        <w:jc w:val="both"/>
      </w:pPr>
      <w:r w:rsidRPr="00185A87">
        <w:t>Выставить на определенную (заранее замеренную) длину в зависимости от используемого металлического профиля дистанционную гайку на одной из щек.</w:t>
      </w:r>
    </w:p>
    <w:p w:rsidR="009A2734" w:rsidRDefault="009A2734" w:rsidP="009A2734">
      <w:pPr>
        <w:pStyle w:val="a9"/>
        <w:numPr>
          <w:ilvl w:val="0"/>
          <w:numId w:val="13"/>
        </w:numPr>
        <w:jc w:val="both"/>
      </w:pPr>
      <w:r w:rsidRPr="00185A87">
        <w:t xml:space="preserve">Установить тележку на металлический профиль (тавр или </w:t>
      </w:r>
      <w:proofErr w:type="spellStart"/>
      <w:r w:rsidRPr="00185A87">
        <w:t>двутавр</w:t>
      </w:r>
      <w:proofErr w:type="spellEnd"/>
      <w:r w:rsidRPr="00185A87">
        <w:t>) и закрутить гайки</w:t>
      </w:r>
      <w:r>
        <w:t xml:space="preserve"> на требуемую величину</w:t>
      </w:r>
      <w:r w:rsidRPr="00185A87">
        <w:t xml:space="preserve">, законтрив </w:t>
      </w:r>
      <w:r>
        <w:t>их</w:t>
      </w:r>
      <w:r w:rsidRPr="00185A87">
        <w:t>.</w:t>
      </w:r>
    </w:p>
    <w:p w:rsidR="009A2734" w:rsidRPr="00185A87" w:rsidRDefault="009A2734" w:rsidP="009A2734">
      <w:pPr>
        <w:pStyle w:val="a9"/>
        <w:numPr>
          <w:ilvl w:val="0"/>
          <w:numId w:val="13"/>
        </w:numPr>
        <w:jc w:val="both"/>
      </w:pPr>
      <w:r>
        <w:t>Изделие готово к эксплуатации</w:t>
      </w:r>
      <w:r w:rsidR="00DE4ADD">
        <w:t xml:space="preserve"> (Рис.3)</w:t>
      </w:r>
      <w:r>
        <w:t>.</w:t>
      </w:r>
    </w:p>
    <w:p w:rsidR="009A2734" w:rsidRDefault="005321D4" w:rsidP="009A2734">
      <w:pPr>
        <w:pStyle w:val="a9"/>
        <w:jc w:val="both"/>
      </w:pPr>
      <w:r>
        <w:rPr>
          <w:noProof/>
        </w:rPr>
        <w:drawing>
          <wp:inline distT="0" distB="0" distL="0" distR="0">
            <wp:extent cx="3418792" cy="1800000"/>
            <wp:effectExtent l="0" t="0" r="0" b="0"/>
            <wp:docPr id="14" name="Рисунок 14" descr="https://krok.biz/image/cache/data/sistemi_zashchiti/Gorizontalnaya_sistema_zashchity_Tavr_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rok.biz/image/cache/data/sistemi_zashchiti/Gorizontalnaya_sistema_zashchity_Tavr_8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23498" b="23852"/>
                    <a:stretch/>
                  </pic:blipFill>
                  <pic:spPr bwMode="auto">
                    <a:xfrm>
                      <a:off x="0" y="0"/>
                      <a:ext cx="34187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5321D4">
        <w:rPr>
          <w:noProof/>
        </w:rPr>
        <w:drawing>
          <wp:inline distT="0" distB="0" distL="0" distR="0">
            <wp:extent cx="2546350" cy="1162050"/>
            <wp:effectExtent l="0" t="0" r="0" b="0"/>
            <wp:docPr id="9" name="Рисунок 8" descr="ÐÐ¾Ð½ÑÐµÐ²ÑÐµ Ð´ÐµÐ¼Ð¿ÑÐµÑÐ½ÑÐµ Ð¾Ð³ÑÐ°Ð½Ð¸ÑÐ¸ÑÐµÐ»Ð¸ (Ð¿Ð°Ñ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¾Ð½ÑÐµÐ²ÑÐµ Ð´ÐµÐ¼Ð¿ÑÐµÑÐ½ÑÐµ Ð¾Ð³ÑÐ°Ð½Ð¸ÑÐ¸ÑÐµÐ»Ð¸ (Ð¿Ð°ÑÐ°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27431" b="26933"/>
                    <a:stretch/>
                  </pic:blipFill>
                  <pic:spPr bwMode="auto">
                    <a:xfrm>
                      <a:off x="0" y="0"/>
                      <a:ext cx="2546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734" w:rsidRDefault="009A2734" w:rsidP="009A2734">
      <w:pPr>
        <w:pStyle w:val="a9"/>
        <w:jc w:val="both"/>
      </w:pPr>
    </w:p>
    <w:p w:rsidR="009A2734" w:rsidRDefault="00DE4ADD" w:rsidP="00DE4ADD">
      <w:pPr>
        <w:pStyle w:val="a9"/>
        <w:jc w:val="center"/>
      </w:pPr>
      <w:r w:rsidRPr="00DE4ADD">
        <w:rPr>
          <w:b/>
        </w:rPr>
        <w:t>Рис.3</w:t>
      </w:r>
      <w:r>
        <w:rPr>
          <w:b/>
        </w:rPr>
        <w:t>.</w:t>
      </w:r>
      <w:r>
        <w:t xml:space="preserve"> Тандем-каретка в сборе на балке</w:t>
      </w:r>
    </w:p>
    <w:p w:rsidR="009A2734" w:rsidRDefault="009A2734" w:rsidP="009A2734">
      <w:pPr>
        <w:pStyle w:val="a9"/>
        <w:jc w:val="both"/>
      </w:pPr>
    </w:p>
    <w:p w:rsidR="00D17A9F" w:rsidRDefault="00185A87" w:rsidP="00185A87">
      <w:pPr>
        <w:pStyle w:val="a9"/>
        <w:ind w:firstLine="360"/>
        <w:jc w:val="both"/>
      </w:pPr>
      <w:r>
        <w:t xml:space="preserve">3.6. </w:t>
      </w:r>
      <w:r w:rsidR="00D17A9F" w:rsidRPr="00185A87">
        <w:t>Балочная тандем-каретка использ</w:t>
      </w:r>
      <w:r>
        <w:t xml:space="preserve">уется </w:t>
      </w:r>
      <w:r w:rsidR="00D17A9F" w:rsidRPr="00185A87">
        <w:t xml:space="preserve">с одним пользователем, </w:t>
      </w:r>
      <w:r>
        <w:t xml:space="preserve">для чего </w:t>
      </w:r>
      <w:r w:rsidR="00D17A9F" w:rsidRPr="00185A87">
        <w:t>соединяется с лямочным поясом работника непосредственно через соединительный карабин, страховочный строп или СИЗ втягивающего типа</w:t>
      </w:r>
      <w:r w:rsidR="00DE4ADD">
        <w:t xml:space="preserve"> (Рис.4</w:t>
      </w:r>
      <w:r w:rsidR="008518D2">
        <w:t>), п</w:t>
      </w:r>
      <w:r w:rsidR="00D17A9F" w:rsidRPr="00185A87">
        <w:t>ри этом обязательно должен использоваться амортизатор падения (компенсатор рывка).</w:t>
      </w:r>
    </w:p>
    <w:p w:rsidR="008518D2" w:rsidRPr="001F566C" w:rsidRDefault="008518D2" w:rsidP="008518D2">
      <w:pPr>
        <w:shd w:val="clear" w:color="auto" w:fill="FFFFFF"/>
        <w:spacing w:after="300"/>
        <w:jc w:val="center"/>
        <w:rPr>
          <w:rFonts w:ascii="Arial" w:hAnsi="Arial" w:cs="Arial"/>
          <w:color w:val="000000"/>
          <w:sz w:val="18"/>
          <w:szCs w:val="18"/>
        </w:rPr>
      </w:pPr>
      <w:r w:rsidRPr="001F566C">
        <w:rPr>
          <w:rFonts w:ascii="Arial" w:hAnsi="Arial" w:cs="Arial"/>
          <w:noProof/>
          <w:color w:val="002F9D"/>
          <w:sz w:val="18"/>
          <w:szCs w:val="18"/>
        </w:rPr>
        <w:drawing>
          <wp:inline distT="0" distB="0" distL="0" distR="0">
            <wp:extent cx="1719101" cy="3060000"/>
            <wp:effectExtent l="0" t="0" r="0" b="0"/>
            <wp:docPr id="2" name="Рисунок 2" descr="Высота возможного падения не может быть меньше свободного хода используемого СИЗ втягивающего типа">
              <a:hlinkClick xmlns:a="http://schemas.openxmlformats.org/drawingml/2006/main" r:id="rId13" tooltip="&quot;Высота возможного падения не может быть меньше свободного хода используемого СИЗ втягивающего ти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та возможного падения не может быть меньше свободного хода используемого СИЗ втягивающего типа">
                      <a:hlinkClick r:id="rId13" tooltip="&quot;Высота возможного падения не может быть меньше свободного хода используемого СИЗ втягивающего ти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0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C">
        <w:rPr>
          <w:rFonts w:ascii="Arial" w:hAnsi="Arial" w:cs="Arial"/>
          <w:color w:val="000000"/>
          <w:sz w:val="18"/>
          <w:szCs w:val="18"/>
        </w:rPr>
        <w:t> </w:t>
      </w:r>
      <w:r w:rsidRPr="001F566C">
        <w:rPr>
          <w:rFonts w:ascii="Arial" w:hAnsi="Arial" w:cs="Arial"/>
          <w:noProof/>
          <w:color w:val="002F9D"/>
          <w:sz w:val="18"/>
          <w:szCs w:val="18"/>
        </w:rPr>
        <w:drawing>
          <wp:inline distT="0" distB="0" distL="0" distR="0">
            <wp:extent cx="1615955" cy="3060000"/>
            <wp:effectExtent l="0" t="0" r="0" b="0"/>
            <wp:docPr id="10" name="Рисунок 10" descr="ВНИМАНИЕ! При падении маятником возможен удар о боковое препятствие.">
              <a:hlinkClick xmlns:a="http://schemas.openxmlformats.org/drawingml/2006/main" r:id="rId15" tooltip="&quot;ВНИМАНИЕ! При падении маятником возможен удар о боковое препятстви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ИМАНИЕ! При падении маятником возможен удар о боковое препятствие.">
                      <a:hlinkClick r:id="rId15" tooltip="&quot;ВНИМАНИЕ! При падении маятником возможен удар о боковое препятстви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5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2" w:rsidRDefault="008518D2" w:rsidP="008518D2">
      <w:pPr>
        <w:pStyle w:val="a9"/>
        <w:jc w:val="center"/>
      </w:pPr>
      <w:r w:rsidRPr="008518D2">
        <w:rPr>
          <w:b/>
        </w:rPr>
        <w:t>Рис.</w:t>
      </w:r>
      <w:r w:rsidR="00DE4ADD">
        <w:rPr>
          <w:b/>
        </w:rPr>
        <w:t>4</w:t>
      </w:r>
      <w:r>
        <w:t>. Схема соединения тандем-каретки и СИЗ работающего.</w:t>
      </w:r>
    </w:p>
    <w:p w:rsidR="00185A87" w:rsidRDefault="00185A87" w:rsidP="00185A87">
      <w:pPr>
        <w:pStyle w:val="a9"/>
        <w:ind w:firstLine="360"/>
        <w:jc w:val="both"/>
        <w:rPr>
          <w:b/>
          <w:color w:val="FF0000"/>
        </w:rPr>
      </w:pPr>
      <w:r>
        <w:lastRenderedPageBreak/>
        <w:t xml:space="preserve">3.7. </w:t>
      </w:r>
      <w:r w:rsidRPr="00185A87">
        <w:rPr>
          <w:b/>
          <w:color w:val="FF0000"/>
        </w:rPr>
        <w:t xml:space="preserve">ВНИМАНИЕ! Расстояние между промежуточными точками прикрепления линейной направляющей к несущим конструкциям </w:t>
      </w:r>
      <w:r w:rsidR="005321D4">
        <w:rPr>
          <w:b/>
          <w:color w:val="FF0000"/>
        </w:rPr>
        <w:t>рассчитывается в зависимости от используемой балки компетентным инженером.</w:t>
      </w:r>
    </w:p>
    <w:p w:rsidR="00185A87" w:rsidRDefault="00185A87" w:rsidP="00185A87">
      <w:pPr>
        <w:pStyle w:val="a9"/>
        <w:ind w:firstLine="360"/>
        <w:jc w:val="both"/>
        <w:rPr>
          <w:b/>
          <w:bCs/>
          <w:color w:val="FF0000"/>
        </w:rPr>
      </w:pPr>
      <w:r>
        <w:rPr>
          <w:bCs/>
        </w:rPr>
        <w:t xml:space="preserve">3.8. </w:t>
      </w:r>
      <w:r w:rsidRPr="00185A87">
        <w:rPr>
          <w:b/>
          <w:bCs/>
          <w:color w:val="FF0000"/>
        </w:rPr>
        <w:t>ВНИМАНИЕ! Для предотвращения схода тележки с балки, на обоих концах балки должны быть установлены концевые ограничители с демпфером</w:t>
      </w:r>
      <w:r>
        <w:rPr>
          <w:bCs/>
          <w:color w:val="FF0000"/>
        </w:rPr>
        <w:t xml:space="preserve"> (в</w:t>
      </w:r>
      <w:r w:rsidRPr="00185A87">
        <w:rPr>
          <w:bCs/>
          <w:color w:val="FF0000"/>
        </w:rPr>
        <w:t xml:space="preserve"> комплект поставки концевые ограничители не входят и приобретаются дополнительно</w:t>
      </w:r>
      <w:r>
        <w:rPr>
          <w:bCs/>
          <w:color w:val="FF0000"/>
        </w:rPr>
        <w:t>)</w:t>
      </w:r>
      <w:r w:rsidRPr="00185A87">
        <w:rPr>
          <w:bCs/>
          <w:color w:val="FF0000"/>
        </w:rPr>
        <w:t>.</w:t>
      </w:r>
    </w:p>
    <w:p w:rsidR="00804F98" w:rsidRPr="00185A87" w:rsidRDefault="00185A87" w:rsidP="00185A87">
      <w:pPr>
        <w:pStyle w:val="a9"/>
        <w:ind w:firstLine="360"/>
        <w:jc w:val="both"/>
        <w:rPr>
          <w:b/>
          <w:color w:val="FF0000"/>
        </w:rPr>
      </w:pPr>
      <w:r>
        <w:t xml:space="preserve">3.9. </w:t>
      </w:r>
      <w:r w:rsidR="000B132E" w:rsidRPr="00185A87">
        <w:rPr>
          <w:b/>
          <w:color w:val="FF0000"/>
        </w:rPr>
        <w:t xml:space="preserve">Внимание! </w:t>
      </w:r>
      <w:r w:rsidR="00187208" w:rsidRPr="00185A87">
        <w:rPr>
          <w:b/>
          <w:color w:val="FF0000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  <w:r w:rsidR="001E3CB7" w:rsidRPr="00185A87">
        <w:rPr>
          <w:b/>
          <w:color w:val="FF0000"/>
        </w:rPr>
        <w:t xml:space="preserve"> </w:t>
      </w:r>
      <w:r w:rsidR="00187208" w:rsidRPr="00185A87">
        <w:rPr>
          <w:b/>
          <w:color w:val="FF0000"/>
        </w:rPr>
        <w:t xml:space="preserve">Игнорирование этих предупреждений может привести к </w:t>
      </w:r>
      <w:r w:rsidR="00DE7CB6">
        <w:rPr>
          <w:b/>
          <w:color w:val="FF0000"/>
        </w:rPr>
        <w:t xml:space="preserve">серьезным </w:t>
      </w:r>
      <w:r w:rsidR="00187208" w:rsidRPr="00185A87">
        <w:rPr>
          <w:b/>
          <w:color w:val="FF0000"/>
        </w:rPr>
        <w:t>травмам и даже смерти.</w:t>
      </w:r>
    </w:p>
    <w:p w:rsidR="007D3CF4" w:rsidRDefault="007D3CF4" w:rsidP="00090F9F">
      <w:pPr>
        <w:jc w:val="both"/>
        <w:rPr>
          <w:b/>
          <w:color w:val="FF0000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 и условия хранения</w:t>
      </w:r>
    </w:p>
    <w:p w:rsidR="008468F2" w:rsidRDefault="008468F2" w:rsidP="00F44569">
      <w:pPr>
        <w:ind w:firstLine="360"/>
        <w:jc w:val="both"/>
      </w:pPr>
      <w:r>
        <w:t xml:space="preserve">4.1. </w:t>
      </w:r>
      <w:r w:rsidR="00172A18" w:rsidRPr="00BE1A34">
        <w:t>Для безопасно</w:t>
      </w:r>
      <w:r w:rsidR="00AD77B1">
        <w:t>й эксплуатации изделия</w:t>
      </w:r>
      <w:r w:rsidR="00757181">
        <w:t xml:space="preserve">, </w:t>
      </w:r>
      <w:r w:rsidR="005B30A7">
        <w:t>все</w:t>
      </w:r>
      <w:r w:rsidR="00172A18" w:rsidRPr="00BE1A34">
        <w:t xml:space="preserve"> </w:t>
      </w:r>
      <w:r w:rsidR="005B30A7">
        <w:t xml:space="preserve">её </w:t>
      </w:r>
      <w:r w:rsidR="00172A18" w:rsidRPr="00BE1A34">
        <w:t xml:space="preserve">составные комплектующие </w:t>
      </w:r>
      <w:r w:rsidR="00AD77B1">
        <w:t xml:space="preserve">элементы </w:t>
      </w:r>
      <w:r w:rsidR="00172A18" w:rsidRPr="00BE1A34">
        <w:t xml:space="preserve">должны быть подвержены визуальному и функциональному осмотру работником </w:t>
      </w:r>
      <w:r w:rsidR="005B30A7">
        <w:t xml:space="preserve">перед и </w:t>
      </w:r>
      <w:r w:rsidR="000A2842" w:rsidRPr="00BE1A34">
        <w:t>во время</w:t>
      </w:r>
      <w:r w:rsidR="00172A18" w:rsidRPr="00BE1A34">
        <w:t xml:space="preserve"> кажд</w:t>
      </w:r>
      <w:r w:rsidR="000A2842" w:rsidRPr="00BE1A34">
        <w:t>ого</w:t>
      </w:r>
      <w:r w:rsidR="00172A18" w:rsidRPr="00BE1A34">
        <w:t xml:space="preserve"> использовани</w:t>
      </w:r>
      <w:r w:rsidR="000A2842" w:rsidRPr="00BE1A34">
        <w:t>я</w:t>
      </w:r>
      <w:r w:rsidR="00172A18" w:rsidRPr="00BE1A34">
        <w:t>, чтобы убедиться в возможности правильной и безопасной эксплуатации.</w:t>
      </w:r>
    </w:p>
    <w:p w:rsidR="00D25E56" w:rsidRDefault="00C3154E" w:rsidP="00F44569">
      <w:pPr>
        <w:ind w:firstLine="360"/>
        <w:jc w:val="both"/>
      </w:pPr>
      <w:r>
        <w:t xml:space="preserve">4.2. Один раз в год </w:t>
      </w:r>
      <w:r w:rsidR="00B753F5">
        <w:t>составные комплектующие</w:t>
      </w:r>
      <w:r w:rsidR="00172A18" w:rsidRPr="00BE1A34">
        <w:t xml:space="preserve"> </w:t>
      </w:r>
      <w:r>
        <w:t xml:space="preserve">тандем-каретки </w:t>
      </w:r>
      <w:r w:rsidR="00172A18" w:rsidRPr="00BE1A34">
        <w:t>должн</w:t>
      </w:r>
      <w:r w:rsidR="00B753F5">
        <w:t>ы</w:t>
      </w:r>
      <w:r w:rsidR="00172A18" w:rsidRPr="00BE1A34">
        <w:t xml:space="preserve"> быть проверен</w:t>
      </w:r>
      <w:r w:rsidR="00B753F5">
        <w:t>ы</w:t>
      </w:r>
      <w:r w:rsidR="00172A18" w:rsidRPr="00BE1A34">
        <w:t xml:space="preserve"> более тщательно (детальная проверка </w:t>
      </w:r>
      <w:r w:rsidR="006A35A9">
        <w:t xml:space="preserve">осуществляется </w:t>
      </w:r>
      <w:r w:rsidR="00172A18" w:rsidRPr="00BE1A34">
        <w:t xml:space="preserve">компетентным лицом/лицами). </w:t>
      </w:r>
    </w:p>
    <w:p w:rsidR="00D25E56" w:rsidRDefault="00D25E56" w:rsidP="00D25E56">
      <w:pPr>
        <w:ind w:firstLine="360"/>
        <w:jc w:val="both"/>
      </w:pPr>
      <w:r>
        <w:t xml:space="preserve">4.3.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</w:p>
    <w:p w:rsidR="00D25E56" w:rsidRDefault="00D25E56" w:rsidP="00D25E56">
      <w:pPr>
        <w:ind w:firstLine="360"/>
        <w:jc w:val="both"/>
      </w:pPr>
      <w:r>
        <w:t>4.4.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 xml:space="preserve">, которая составляет </w:t>
      </w:r>
      <w:r w:rsidR="005321D4">
        <w:rPr>
          <w:b/>
        </w:rPr>
        <w:t>70</w:t>
      </w:r>
      <w:r w:rsidRPr="00960E38">
        <w:rPr>
          <w:b/>
        </w:rPr>
        <w:t>%</w:t>
      </w:r>
      <w:r>
        <w:t xml:space="preserve">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D25E56">
        <w:rPr>
          <w:bCs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Pr="00BE1A34">
        <w:t xml:space="preserve"> мин ±10 с. 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</w:t>
      </w:r>
      <w:r w:rsidR="00BF3EE3">
        <w:t>отверсти</w:t>
      </w:r>
      <w:r w:rsidR="005321D4">
        <w:t>ю</w:t>
      </w:r>
      <w:r w:rsidR="008518D2">
        <w:t xml:space="preserve"> проушины</w:t>
      </w:r>
      <w:r>
        <w:t xml:space="preserve">. </w:t>
      </w:r>
      <w:r w:rsidRPr="00BE1A34">
        <w:t>Если после проведения испытаний груз удержан, а при последующем осмотре изъянов в изделии не выявлено, то изделие годно к дальнейшему использованию.</w:t>
      </w:r>
      <w:r>
        <w:t xml:space="preserve"> </w:t>
      </w:r>
      <w:r w:rsidRPr="00BE1A34">
        <w:t>Право проведения испытаний производитель делегирует компетентному лицу пользователя.</w:t>
      </w:r>
    </w:p>
    <w:p w:rsidR="00D25E56" w:rsidRDefault="00D25E56" w:rsidP="00D25E56">
      <w:pPr>
        <w:ind w:firstLine="360"/>
        <w:jc w:val="both"/>
      </w:pPr>
      <w:r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461453" w:rsidRPr="00461453" w:rsidRDefault="00D25E56" w:rsidP="00461453">
      <w:pPr>
        <w:ind w:firstLine="360"/>
        <w:jc w:val="both"/>
        <w:rPr>
          <w:rStyle w:val="a5"/>
          <w:b w:val="0"/>
          <w:bCs w:val="0"/>
        </w:rPr>
      </w:pPr>
      <w:r>
        <w:t>4.6.</w:t>
      </w:r>
      <w:r w:rsidR="00F26329">
        <w:t xml:space="preserve"> </w:t>
      </w:r>
      <w:r w:rsidR="00461453">
        <w:rPr>
          <w:rStyle w:val="a5"/>
          <w:b w:val="0"/>
          <w:color w:val="000000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461453" w:rsidRPr="00C3154E" w:rsidRDefault="00461453" w:rsidP="00461453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461453" w:rsidRDefault="00461453" w:rsidP="00461453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461453" w:rsidRDefault="00461453" w:rsidP="00461453">
      <w:pPr>
        <w:ind w:firstLine="36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461453" w:rsidRDefault="00461453" w:rsidP="00461453">
      <w:pPr>
        <w:ind w:firstLine="360"/>
        <w:jc w:val="both"/>
        <w:rPr>
          <w:color w:val="000000"/>
        </w:rPr>
      </w:pPr>
      <w:r>
        <w:rPr>
          <w:color w:val="000000"/>
        </w:rPr>
        <w:t>Использование абсолютных значений в формуле объясняется тем, что она применяется одновременно как к размерам охватывающим (диаметры условных отверстий), так и охватываемым (диаметры условных валов), изменение которых при эксплуатации происходит в ра</w:t>
      </w:r>
      <w:r w:rsidR="00DE4ADD">
        <w:rPr>
          <w:color w:val="000000"/>
        </w:rPr>
        <w:t xml:space="preserve">зличном направлении (отверстия </w:t>
      </w:r>
      <w:r>
        <w:rPr>
          <w:color w:val="000000"/>
        </w:rPr>
        <w:t>увеличиваются в диаметре, валы – уменьшаются).</w:t>
      </w:r>
    </w:p>
    <w:p w:rsidR="00C3154E" w:rsidRDefault="00C3154E" w:rsidP="00F06C4B">
      <w:pPr>
        <w:ind w:firstLine="36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7</w:t>
      </w:r>
      <w:r>
        <w:rPr>
          <w:rStyle w:val="a5"/>
          <w:b w:val="0"/>
          <w:color w:val="000000"/>
        </w:rPr>
        <w:t>. Допускаются следующие предельные отклонения</w:t>
      </w:r>
      <w:r w:rsidR="0085494A">
        <w:rPr>
          <w:rStyle w:val="a5"/>
          <w:b w:val="0"/>
          <w:color w:val="000000"/>
        </w:rPr>
        <w:t xml:space="preserve"> блок-роликов и иных элементов:</w:t>
      </w:r>
    </w:p>
    <w:p w:rsidR="00302829" w:rsidRDefault="00302829" w:rsidP="00302829">
      <w:pPr>
        <w:pStyle w:val="ab"/>
        <w:numPr>
          <w:ilvl w:val="0"/>
          <w:numId w:val="29"/>
        </w:numPr>
        <w:jc w:val="both"/>
      </w:pPr>
      <w:r>
        <w:t>износ блок-роликов</w:t>
      </w:r>
      <w:r w:rsidR="00C3154E">
        <w:t>, измеренный</w:t>
      </w:r>
      <w:r w:rsidR="00960E38">
        <w:t xml:space="preserve"> по внешнему </w:t>
      </w:r>
      <w:r w:rsidR="008518D2">
        <w:t xml:space="preserve">среднему </w:t>
      </w:r>
      <w:r>
        <w:t>диаме</w:t>
      </w:r>
      <w:r w:rsidR="002A7C01">
        <w:t>тру</w:t>
      </w:r>
      <w:r w:rsidR="001245EB">
        <w:t xml:space="preserve"> (</w:t>
      </w:r>
      <w:r w:rsidR="001245EB" w:rsidRPr="00CC1BED">
        <w:rPr>
          <w:i/>
          <w:lang w:val="en-US"/>
        </w:rPr>
        <w:t>D</w:t>
      </w:r>
      <w:r w:rsidR="001245EB">
        <w:t>)</w:t>
      </w:r>
      <w:r w:rsidR="00C3154E">
        <w:t>,</w:t>
      </w:r>
      <w:r w:rsidR="002A7C01">
        <w:t xml:space="preserve"> должен быть не более </w:t>
      </w:r>
      <w:r w:rsidR="00022BBC">
        <w:t>10</w:t>
      </w:r>
      <w:r w:rsidR="00960E38">
        <w:t>%, измеренный по внутреннему посадочному диаметру (</w:t>
      </w:r>
      <w:r w:rsidR="00960E38">
        <w:rPr>
          <w:i/>
          <w:lang w:val="en-US"/>
        </w:rPr>
        <w:t>d</w:t>
      </w:r>
      <w:r w:rsidR="00960E38">
        <w:t xml:space="preserve">) – не более 5%; </w:t>
      </w:r>
    </w:p>
    <w:p w:rsidR="00302829" w:rsidRDefault="00302829" w:rsidP="00302829">
      <w:pPr>
        <w:pStyle w:val="ab"/>
        <w:numPr>
          <w:ilvl w:val="0"/>
          <w:numId w:val="29"/>
        </w:numPr>
        <w:jc w:val="both"/>
      </w:pPr>
      <w:r>
        <w:t>и</w:t>
      </w:r>
      <w:r w:rsidR="002C3025">
        <w:t xml:space="preserve">знос реборд </w:t>
      </w:r>
      <w:r>
        <w:t>блок-роликов</w:t>
      </w:r>
      <w:r w:rsidR="00170487">
        <w:t xml:space="preserve"> (</w:t>
      </w:r>
      <w:r w:rsidR="00170487" w:rsidRPr="00170487">
        <w:rPr>
          <w:i/>
          <w:lang w:val="en-US"/>
        </w:rPr>
        <w:t>L</w:t>
      </w:r>
      <w:r w:rsidR="00170487">
        <w:t>)</w:t>
      </w:r>
      <w:r w:rsidR="0085494A">
        <w:t xml:space="preserve">, </w:t>
      </w:r>
      <w:r w:rsidR="007B2FE2">
        <w:t>должен составлять не более 1</w:t>
      </w:r>
      <w:r w:rsidR="002C3025">
        <w:t>0</w:t>
      </w:r>
      <w:r>
        <w:t>%</w:t>
      </w:r>
      <w:r w:rsidR="001245EB">
        <w:t xml:space="preserve"> (см. Рис.</w:t>
      </w:r>
      <w:r w:rsidR="00DE7CB6">
        <w:t>5</w:t>
      </w:r>
      <w:r w:rsidR="001245EB">
        <w:t>)</w:t>
      </w:r>
      <w:r>
        <w:t>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щёки, имеющие трещины и износ более 10% первоначального размера или разработанные отверстия для осей и траверс;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оси, имеющие износ, превышающий 5% по диаметру</w:t>
      </w:r>
      <w:r>
        <w:t>;</w:t>
      </w:r>
    </w:p>
    <w:p w:rsidR="002C3025" w:rsidRDefault="00302829" w:rsidP="00302829">
      <w:pPr>
        <w:pStyle w:val="ab"/>
        <w:numPr>
          <w:ilvl w:val="0"/>
          <w:numId w:val="29"/>
        </w:numPr>
        <w:jc w:val="both"/>
      </w:pPr>
      <w:r>
        <w:t>блок-ролики</w:t>
      </w:r>
      <w:r w:rsidR="002C3025">
        <w:t xml:space="preserve"> с трещинами на дорожке катания</w:t>
      </w:r>
      <w:r>
        <w:t xml:space="preserve">, сколах на ребордах </w:t>
      </w:r>
      <w:r w:rsidR="002C3025">
        <w:t>к экс</w:t>
      </w:r>
      <w:r w:rsidR="002A7C01">
        <w:t>плуатации не допускаются;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подшипники, имеющие явно выраженный люфт в любом из направлений;</w:t>
      </w:r>
    </w:p>
    <w:p w:rsidR="002C3025" w:rsidRPr="002A7C01" w:rsidRDefault="002A7C01" w:rsidP="00C47F35">
      <w:pPr>
        <w:pStyle w:val="ab"/>
        <w:numPr>
          <w:ilvl w:val="0"/>
          <w:numId w:val="29"/>
        </w:numPr>
        <w:jc w:val="both"/>
        <w:rPr>
          <w:rStyle w:val="a5"/>
          <w:b w:val="0"/>
          <w:color w:val="000000"/>
        </w:rPr>
      </w:pPr>
      <w:r>
        <w:t xml:space="preserve">износ остальных конструктивных элементов тандем-каретки должен составлять не более </w:t>
      </w:r>
      <w:r w:rsidR="00CC1BED">
        <w:t>10</w:t>
      </w:r>
      <w:r>
        <w:t>%</w:t>
      </w:r>
      <w:r w:rsidR="0085494A">
        <w:t xml:space="preserve"> от первоначальных геометрических размеров (диаметров отверстий и валов)</w:t>
      </w:r>
      <w:r>
        <w:t>.</w:t>
      </w:r>
    </w:p>
    <w:p w:rsidR="00AD2A16" w:rsidRDefault="00985D12" w:rsidP="00AD2A16">
      <w:pPr>
        <w:jc w:val="center"/>
      </w:pPr>
      <w:r>
        <w:rPr>
          <w:noProof/>
        </w:rPr>
        <w:lastRenderedPageBreak/>
        <w:drawing>
          <wp:inline distT="0" distB="0" distL="0" distR="0">
            <wp:extent cx="1669655" cy="18000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5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16" w:rsidRDefault="00461453" w:rsidP="00AD2A16">
      <w:pPr>
        <w:jc w:val="center"/>
      </w:pPr>
      <w:r>
        <w:rPr>
          <w:b/>
        </w:rPr>
        <w:t xml:space="preserve">Рис. </w:t>
      </w:r>
      <w:r w:rsidR="00DE7CB6">
        <w:rPr>
          <w:b/>
        </w:rPr>
        <w:t>5</w:t>
      </w:r>
      <w:r w:rsidR="00AD2A16">
        <w:t>.</w:t>
      </w:r>
      <w:r w:rsidR="00944212">
        <w:t xml:space="preserve"> Размеры блок-роликов, контролируемые при осмотрах.</w:t>
      </w:r>
    </w:p>
    <w:p w:rsidR="00960E38" w:rsidRDefault="00960E38" w:rsidP="00AD2A16">
      <w:pPr>
        <w:ind w:firstLine="360"/>
        <w:jc w:val="both"/>
      </w:pPr>
    </w:p>
    <w:p w:rsidR="00F26329" w:rsidRPr="00CC1BED" w:rsidRDefault="00F26329" w:rsidP="00AD2A16">
      <w:pPr>
        <w:ind w:firstLine="360"/>
        <w:jc w:val="both"/>
        <w:rPr>
          <w:rStyle w:val="a5"/>
          <w:b w:val="0"/>
          <w:color w:val="000000"/>
        </w:rPr>
      </w:pPr>
      <w:r w:rsidRPr="00BE1A34">
        <w:t>Результаты всех детальных проверок должны быть записаны</w:t>
      </w:r>
      <w:r w:rsidR="00CC1BED">
        <w:t xml:space="preserve"> в отдельный журнал</w:t>
      </w:r>
      <w:r w:rsidRPr="00BE1A34">
        <w:t xml:space="preserve">, а записи должны </w:t>
      </w:r>
      <w:r>
        <w:t>быть со</w:t>
      </w:r>
      <w:r w:rsidRPr="00BE1A34">
        <w:t>хран</w:t>
      </w:r>
      <w:r>
        <w:t>ены</w:t>
      </w:r>
      <w:r w:rsidR="00CC1BED">
        <w:t>.</w:t>
      </w:r>
    </w:p>
    <w:p w:rsidR="00D25E56" w:rsidRDefault="00F06C4B" w:rsidP="00F26329">
      <w:pPr>
        <w:ind w:firstLine="36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8</w:t>
      </w:r>
      <w:r>
        <w:rPr>
          <w:rStyle w:val="a5"/>
          <w:b w:val="0"/>
          <w:color w:val="000000"/>
        </w:rPr>
        <w:t xml:space="preserve">. </w:t>
      </w:r>
      <w:r w:rsidR="00D25E56" w:rsidRPr="00BE1A34">
        <w:rPr>
          <w:rStyle w:val="a5"/>
          <w:color w:val="000000"/>
        </w:rPr>
        <w:t>При наличии</w:t>
      </w:r>
      <w:r w:rsidR="00D25E56" w:rsidRPr="00BE1A34">
        <w:rPr>
          <w:rStyle w:val="apple-converted-space"/>
          <w:color w:val="000000"/>
        </w:rPr>
        <w:t> </w:t>
      </w:r>
      <w:r w:rsidR="00D25E56" w:rsidRPr="00BE1A34">
        <w:t>механических дефектов, трещин, деформации и других повреждений металлических частей</w:t>
      </w:r>
      <w:r w:rsidR="00D25E56">
        <w:t xml:space="preserve"> элементов тандем-каретки</w:t>
      </w:r>
      <w:r w:rsidR="00D25E56" w:rsidRPr="00BE1A34">
        <w:t>,</w:t>
      </w:r>
      <w:r w:rsidR="00D25E56">
        <w:rPr>
          <w:rStyle w:val="apple-converted-space"/>
          <w:color w:val="000000"/>
        </w:rPr>
        <w:t xml:space="preserve"> </w:t>
      </w:r>
      <w:r w:rsidR="00D25E56" w:rsidRPr="00BE1A34">
        <w:rPr>
          <w:rStyle w:val="a5"/>
          <w:color w:val="000000"/>
        </w:rPr>
        <w:t xml:space="preserve">либо </w:t>
      </w:r>
      <w:r w:rsidR="00D25E56">
        <w:rPr>
          <w:rStyle w:val="a5"/>
          <w:color w:val="000000"/>
        </w:rPr>
        <w:t xml:space="preserve">относительных показателей </w:t>
      </w:r>
      <w:r w:rsidR="00D25E56" w:rsidRPr="00BE1A34">
        <w:rPr>
          <w:rStyle w:val="a5"/>
          <w:color w:val="000000"/>
        </w:rPr>
        <w:t xml:space="preserve">изношенности </w:t>
      </w:r>
      <w:r w:rsidR="00D25E56">
        <w:rPr>
          <w:rStyle w:val="a5"/>
          <w:color w:val="000000"/>
        </w:rPr>
        <w:t xml:space="preserve">на величины </w:t>
      </w:r>
      <w:r w:rsidR="00D25E56" w:rsidRPr="00BE1A34">
        <w:rPr>
          <w:rStyle w:val="a5"/>
          <w:color w:val="000000"/>
        </w:rPr>
        <w:t xml:space="preserve">более </w:t>
      </w:r>
      <w:r w:rsidR="00D25E56">
        <w:rPr>
          <w:rStyle w:val="a5"/>
          <w:color w:val="000000"/>
        </w:rPr>
        <w:t xml:space="preserve">тех, </w:t>
      </w:r>
      <w:r w:rsidR="00D25E56" w:rsidRPr="00BE1A34">
        <w:rPr>
          <w:rStyle w:val="a5"/>
          <w:color w:val="000000"/>
        </w:rPr>
        <w:t>ч</w:t>
      </w:r>
      <w:r w:rsidR="00D25E56">
        <w:rPr>
          <w:rStyle w:val="a5"/>
          <w:color w:val="000000"/>
        </w:rPr>
        <w:t>то</w:t>
      </w:r>
      <w:r w:rsidR="00D25E56" w:rsidRPr="00BE1A34">
        <w:rPr>
          <w:rStyle w:val="a5"/>
          <w:color w:val="000000"/>
        </w:rPr>
        <w:t xml:space="preserve"> </w:t>
      </w:r>
      <w:r w:rsidR="00D25E56">
        <w:rPr>
          <w:rStyle w:val="a5"/>
          <w:color w:val="000000"/>
        </w:rPr>
        <w:t>указаны в п.4.</w:t>
      </w:r>
      <w:r w:rsidR="00F26329">
        <w:rPr>
          <w:rStyle w:val="a5"/>
          <w:color w:val="000000"/>
        </w:rPr>
        <w:t>7</w:t>
      </w:r>
      <w:r w:rsidR="00D25E56" w:rsidRPr="00BE1A34">
        <w:t xml:space="preserve">, </w:t>
      </w:r>
      <w:r w:rsidR="00D25E56" w:rsidRPr="00BE1A34">
        <w:rPr>
          <w:rStyle w:val="a5"/>
          <w:color w:val="000000"/>
        </w:rPr>
        <w:t xml:space="preserve">эксплуатация </w:t>
      </w:r>
      <w:r w:rsidR="00D25E56">
        <w:rPr>
          <w:rStyle w:val="a5"/>
          <w:color w:val="000000"/>
        </w:rPr>
        <w:t xml:space="preserve">изделия </w:t>
      </w:r>
      <w:r w:rsidR="00D25E56" w:rsidRPr="00BE1A34">
        <w:rPr>
          <w:rStyle w:val="caps"/>
          <w:b/>
          <w:bCs/>
          <w:color w:val="000000"/>
        </w:rPr>
        <w:t>ЗАПРЕЩАЕТСЯ</w:t>
      </w:r>
      <w:r w:rsidR="00D25E56" w:rsidRPr="00BE1A34">
        <w:rPr>
          <w:rStyle w:val="a5"/>
          <w:color w:val="000000"/>
        </w:rPr>
        <w:t>!</w:t>
      </w:r>
      <w:r w:rsidR="00D25E56" w:rsidRPr="00BE1A34">
        <w:rPr>
          <w:rStyle w:val="apple-converted-space"/>
          <w:color w:val="000000"/>
        </w:rPr>
        <w:t> </w:t>
      </w:r>
    </w:p>
    <w:p w:rsidR="00944212" w:rsidRDefault="00F26329" w:rsidP="008468F2">
      <w:pPr>
        <w:ind w:firstLine="360"/>
        <w:jc w:val="both"/>
      </w:pPr>
      <w:r>
        <w:rPr>
          <w:color w:val="000000"/>
        </w:rPr>
        <w:t>4.</w:t>
      </w:r>
      <w:r w:rsidR="00F14625">
        <w:rPr>
          <w:color w:val="000000"/>
        </w:rPr>
        <w:t>9</w:t>
      </w:r>
      <w:r>
        <w:rPr>
          <w:color w:val="000000"/>
        </w:rPr>
        <w:t xml:space="preserve">. </w:t>
      </w:r>
      <w:r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FC7D97" w:rsidRDefault="00F26329" w:rsidP="008468F2">
      <w:pPr>
        <w:ind w:firstLine="360"/>
        <w:jc w:val="both"/>
        <w:rPr>
          <w:color w:val="000000"/>
        </w:rPr>
      </w:pPr>
      <w:r>
        <w:rPr>
          <w:color w:val="000000"/>
        </w:rPr>
        <w:t>4.1</w:t>
      </w:r>
      <w:r w:rsidR="00C053CE">
        <w:rPr>
          <w:color w:val="000000"/>
        </w:rPr>
        <w:t>0</w:t>
      </w:r>
      <w:r>
        <w:rPr>
          <w:color w:val="000000"/>
        </w:rPr>
        <w:t xml:space="preserve">. </w:t>
      </w:r>
      <w:r w:rsidR="00D25E56"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 w:rsidR="000C13AF">
        <w:rPr>
          <w:color w:val="000000"/>
        </w:rPr>
        <w:t>различных элементов тандем-каретки: блок-</w:t>
      </w:r>
      <w:r w:rsidR="00D25E56" w:rsidRPr="00B753F5">
        <w:rPr>
          <w:color w:val="000000"/>
        </w:rPr>
        <w:t>роликов</w:t>
      </w:r>
      <w:r w:rsidR="000C13AF">
        <w:rPr>
          <w:color w:val="000000"/>
        </w:rPr>
        <w:t xml:space="preserve"> (одновременно проверяя </w:t>
      </w:r>
      <w:r w:rsidR="00D25E56" w:rsidRPr="00B753F5">
        <w:rPr>
          <w:color w:val="000000"/>
        </w:rPr>
        <w:t>лёгкост</w:t>
      </w:r>
      <w:r w:rsidR="000C13AF">
        <w:rPr>
          <w:color w:val="000000"/>
        </w:rPr>
        <w:t>ь</w:t>
      </w:r>
      <w:r w:rsidR="00D25E56" w:rsidRPr="00B753F5">
        <w:rPr>
          <w:color w:val="000000"/>
        </w:rPr>
        <w:t xml:space="preserve"> их вращения </w:t>
      </w:r>
      <w:r w:rsidR="00D25E56">
        <w:rPr>
          <w:color w:val="000000"/>
        </w:rPr>
        <w:t>и отсутствия болтанки на оси</w:t>
      </w:r>
      <w:r w:rsidR="000C13AF">
        <w:rPr>
          <w:color w:val="000000"/>
        </w:rPr>
        <w:t>), подшипников</w:t>
      </w:r>
      <w:r w:rsidR="00F14625">
        <w:rPr>
          <w:color w:val="000000"/>
        </w:rPr>
        <w:t xml:space="preserve"> и т.д.</w:t>
      </w:r>
    </w:p>
    <w:p w:rsidR="00FB0316" w:rsidRDefault="00C053CE" w:rsidP="008468F2">
      <w:pPr>
        <w:ind w:firstLine="360"/>
        <w:jc w:val="both"/>
        <w:rPr>
          <w:color w:val="000000"/>
        </w:rPr>
      </w:pPr>
      <w:r>
        <w:t>4.11</w:t>
      </w:r>
      <w:r w:rsidR="00FC7D97">
        <w:t xml:space="preserve">. </w:t>
      </w:r>
      <w:r w:rsidR="00FC7D97" w:rsidRPr="00B81607">
        <w:t>Резьбовая фиксация роликов позволяет производить техобслуживание и замену роликов и подшипников</w:t>
      </w:r>
      <w:r w:rsidR="00FC7D97">
        <w:t xml:space="preserve"> самостоятельно, без обращения к производителю (при желании такое обращение возможно, если потребитель готов делегировать функции технического обслуживания изделия производителю)</w:t>
      </w:r>
      <w:r w:rsidR="00FC7D97" w:rsidRPr="00B81607">
        <w:t>.</w:t>
      </w:r>
      <w:r w:rsidR="00FB0316">
        <w:rPr>
          <w:color w:val="000000"/>
        </w:rPr>
        <w:t xml:space="preserve"> </w:t>
      </w:r>
    </w:p>
    <w:p w:rsidR="00022BBC" w:rsidRDefault="00FB0316" w:rsidP="00022BBC">
      <w:pPr>
        <w:ind w:firstLine="360"/>
        <w:jc w:val="both"/>
      </w:pPr>
      <w:r w:rsidRPr="00505D7B">
        <w:rPr>
          <w:b/>
          <w:bCs/>
          <w:color w:val="FF0000"/>
        </w:rPr>
        <w:t xml:space="preserve">Внимание! </w:t>
      </w:r>
      <w:r w:rsidR="00022BBC" w:rsidRPr="00505D7B">
        <w:rPr>
          <w:b/>
          <w:bCs/>
          <w:color w:val="FF0000"/>
        </w:rPr>
        <w:t xml:space="preserve">После </w:t>
      </w:r>
      <w:r w:rsidR="00022BBC">
        <w:rPr>
          <w:b/>
          <w:bCs/>
          <w:color w:val="FF0000"/>
        </w:rPr>
        <w:t xml:space="preserve">даже однократного раскручивания </w:t>
      </w:r>
      <w:proofErr w:type="spellStart"/>
      <w:r w:rsidR="00022BBC" w:rsidRPr="00505D7B">
        <w:rPr>
          <w:b/>
          <w:bCs/>
          <w:color w:val="FF0000"/>
        </w:rPr>
        <w:t>самоконтрящиеся</w:t>
      </w:r>
      <w:proofErr w:type="spellEnd"/>
      <w:r w:rsidR="00022BBC" w:rsidRPr="00505D7B">
        <w:rPr>
          <w:b/>
          <w:bCs/>
          <w:color w:val="FF0000"/>
        </w:rPr>
        <w:t xml:space="preserve"> гайки (в случае их использования) необходимо замен</w:t>
      </w:r>
      <w:r w:rsidR="00022BBC">
        <w:rPr>
          <w:b/>
          <w:bCs/>
          <w:color w:val="FF0000"/>
        </w:rPr>
        <w:t>я</w:t>
      </w:r>
      <w:r w:rsidR="00022BBC" w:rsidRPr="00505D7B">
        <w:rPr>
          <w:b/>
          <w:bCs/>
          <w:color w:val="FF0000"/>
        </w:rPr>
        <w:t>ть на новые!</w:t>
      </w:r>
    </w:p>
    <w:p w:rsidR="008468F2" w:rsidRDefault="00F26329" w:rsidP="008468F2">
      <w:pPr>
        <w:ind w:firstLine="360"/>
        <w:jc w:val="both"/>
      </w:pPr>
      <w:r>
        <w:t>4.12</w:t>
      </w:r>
      <w:r w:rsidR="008468F2">
        <w:t xml:space="preserve">. </w:t>
      </w:r>
      <w:r w:rsidR="00172A18" w:rsidRPr="00BE1A34">
        <w:t xml:space="preserve">После эксплуатации изделие </w:t>
      </w:r>
      <w:r w:rsidR="00FC7D97">
        <w:t xml:space="preserve">требуется </w:t>
      </w:r>
      <w:r w:rsidR="00172A18" w:rsidRPr="00BE1A34">
        <w:t>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F26329" w:rsidP="00161190">
      <w:pPr>
        <w:ind w:firstLine="360"/>
        <w:jc w:val="both"/>
      </w:pPr>
      <w:r>
        <w:t>4.13</w:t>
      </w:r>
      <w:r w:rsidR="008468F2">
        <w:t xml:space="preserve">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Pr="00FC7D97" w:rsidRDefault="00161190" w:rsidP="00FC7D97">
      <w:pPr>
        <w:jc w:val="both"/>
        <w:rPr>
          <w:sz w:val="28"/>
          <w:szCs w:val="28"/>
        </w:rPr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0B54F7" w:rsidRDefault="00161190" w:rsidP="00161190">
      <w:pPr>
        <w:ind w:firstLine="360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161190" w:rsidRPr="000B54F7" w:rsidRDefault="000B54F7" w:rsidP="00161190">
      <w:pPr>
        <w:ind w:firstLine="360"/>
        <w:jc w:val="both"/>
        <w:rPr>
          <w:b/>
          <w:color w:val="FF0000"/>
        </w:rPr>
      </w:pPr>
      <w:r w:rsidRPr="000B54F7">
        <w:rPr>
          <w:b/>
          <w:color w:val="FF0000"/>
        </w:rPr>
        <w:t xml:space="preserve">ВНИМАНИЕ! </w:t>
      </w:r>
      <w:r w:rsidR="00172A18" w:rsidRPr="000B54F7">
        <w:rPr>
          <w:b/>
          <w:color w:val="FF0000"/>
        </w:rPr>
        <w:t>Срок эксплуатации изделия зависит от интенсивности использования.</w:t>
      </w:r>
    </w:p>
    <w:p w:rsidR="00161190" w:rsidRDefault="00172A18" w:rsidP="00161190">
      <w:pPr>
        <w:ind w:firstLine="360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="000B54F7">
        <w:rPr>
          <w:rStyle w:val="a5"/>
          <w:color w:val="FF0000"/>
        </w:rPr>
        <w:t xml:space="preserve"> </w:t>
      </w:r>
      <w:r w:rsidRPr="00BE1A34">
        <w:t xml:space="preserve">В исключительных случаях </w:t>
      </w:r>
      <w:r w:rsidR="000B54F7">
        <w:t xml:space="preserve">возможна </w:t>
      </w:r>
      <w:r w:rsidRPr="00BE1A34">
        <w:t>выбраков</w:t>
      </w:r>
      <w:r w:rsidR="000B54F7">
        <w:t>ка</w:t>
      </w:r>
      <w:r w:rsidRPr="00BE1A34">
        <w:t xml:space="preserve"> некоторы</w:t>
      </w:r>
      <w:r w:rsidR="000B54F7">
        <w:t>х</w:t>
      </w:r>
      <w:r w:rsidRPr="00BE1A34">
        <w:t xml:space="preserve"> комплектующи</w:t>
      </w:r>
      <w:r w:rsidR="000B54F7">
        <w:t>х</w:t>
      </w:r>
      <w:r w:rsidRPr="00BE1A34">
        <w:t xml:space="preserve"> изделия уже после первого использования, это зависит от того, как, где и с какой интенсивностью</w:t>
      </w:r>
      <w:r w:rsidR="000B54F7">
        <w:t xml:space="preserve"> происходила </w:t>
      </w:r>
      <w:r w:rsidRPr="00BE1A34">
        <w:t xml:space="preserve">его </w:t>
      </w:r>
      <w:r w:rsidR="000B54F7">
        <w:t>эксплуатация</w:t>
      </w:r>
      <w:r w:rsidRPr="00BE1A34">
        <w:t xml:space="preserve"> (жёсткие условия, экстремальные </w:t>
      </w:r>
      <w:r w:rsidR="00022BBC">
        <w:t xml:space="preserve">нагрузки и </w:t>
      </w:r>
      <w:r w:rsidRPr="00BE1A34">
        <w:t>температуры, воздействие химических веществ и т. п.).</w:t>
      </w:r>
    </w:p>
    <w:p w:rsidR="00161190" w:rsidRDefault="00161190" w:rsidP="00161190">
      <w:pPr>
        <w:ind w:firstLine="360"/>
        <w:jc w:val="both"/>
      </w:pPr>
      <w:r>
        <w:t xml:space="preserve">5.2.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1190" w:rsidRDefault="00161190" w:rsidP="00161190">
      <w:pPr>
        <w:ind w:firstLine="360"/>
        <w:jc w:val="both"/>
      </w:pPr>
      <w:r>
        <w:lastRenderedPageBreak/>
        <w:t xml:space="preserve">5.3. </w:t>
      </w:r>
      <w:r w:rsidR="00172A18" w:rsidRPr="00BE1A34">
        <w:t>Гарантийные обязательства не распространяются на</w:t>
      </w:r>
      <w:r w:rsidR="00022BBC">
        <w:t xml:space="preserve"> шарикоподшипники и</w:t>
      </w:r>
      <w:r w:rsidR="00172A18" w:rsidRPr="00BE1A34">
        <w:t xml:space="preserve">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72A18" w:rsidRDefault="00172A18" w:rsidP="00161190">
      <w:pPr>
        <w:ind w:firstLine="360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Pr="00BE1A34">
        <w:rPr>
          <w:rStyle w:val="apple-converted-space"/>
          <w:color w:val="000000"/>
        </w:rPr>
        <w:t> </w:t>
      </w:r>
      <w:r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C4F9B" w:rsidRPr="00BE1A34" w:rsidRDefault="006C4F9B" w:rsidP="006C4F9B">
      <w:pPr>
        <w:pStyle w:val="a9"/>
        <w:jc w:val="both"/>
      </w:pPr>
    </w:p>
    <w:p w:rsidR="00172A18" w:rsidRPr="006C4F9B" w:rsidRDefault="00172A18" w:rsidP="006C4F9B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6C4F9B" w:rsidRDefault="00172A18" w:rsidP="006C4F9B">
      <w:pPr>
        <w:pStyle w:val="a9"/>
        <w:ind w:firstLine="567"/>
      </w:pPr>
      <w:r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944212" w:rsidRDefault="00944212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Присвоен заводской номер № ______________________________________________________</w:t>
      </w:r>
      <w:r w:rsidRPr="00BE1A34">
        <w:br/>
        <w:t>(в случае продажи нескольких изделий одного вида допускается перечисление присвоенных заводских номеров)</w:t>
      </w:r>
    </w:p>
    <w:p w:rsidR="006C4F9B" w:rsidRDefault="006C4F9B" w:rsidP="00BE1A34">
      <w:pPr>
        <w:pStyle w:val="a9"/>
      </w:pPr>
    </w:p>
    <w:p w:rsidR="00172A18" w:rsidRPr="00BE1A34" w:rsidRDefault="00172A18" w:rsidP="006C4F9B">
      <w:pPr>
        <w:pStyle w:val="a9"/>
        <w:ind w:firstLine="567"/>
      </w:pPr>
      <w:r w:rsidRPr="00BE1A34">
        <w:t>Дата изготовления _______________________________________________________________</w:t>
      </w:r>
    </w:p>
    <w:p w:rsidR="006C4F9B" w:rsidRDefault="006C4F9B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Дата продажи ___________________________________________________________________</w:t>
      </w:r>
    </w:p>
    <w:p w:rsidR="006C4F9B" w:rsidRDefault="006C4F9B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Подпись лица, ответственного за приёмку изделия ____________________________________</w:t>
      </w:r>
    </w:p>
    <w:p w:rsidR="00D13231" w:rsidRDefault="00D13231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F26329" w:rsidRDefault="00F26329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D13231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D13231" w:rsidRPr="0085512F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17C16"/>
    <w:multiLevelType w:val="hybridMultilevel"/>
    <w:tmpl w:val="6602D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F3C4E"/>
    <w:multiLevelType w:val="hybridMultilevel"/>
    <w:tmpl w:val="87F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24715"/>
    <w:multiLevelType w:val="hybridMultilevel"/>
    <w:tmpl w:val="6D2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3194F"/>
    <w:multiLevelType w:val="hybridMultilevel"/>
    <w:tmpl w:val="4ED46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25BC6"/>
    <w:multiLevelType w:val="multilevel"/>
    <w:tmpl w:val="01E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0"/>
  </w:num>
  <w:num w:numId="5">
    <w:abstractNumId w:val="19"/>
  </w:num>
  <w:num w:numId="6">
    <w:abstractNumId w:val="29"/>
  </w:num>
  <w:num w:numId="7">
    <w:abstractNumId w:val="25"/>
  </w:num>
  <w:num w:numId="8">
    <w:abstractNumId w:val="13"/>
  </w:num>
  <w:num w:numId="9">
    <w:abstractNumId w:val="6"/>
  </w:num>
  <w:num w:numId="10">
    <w:abstractNumId w:val="23"/>
  </w:num>
  <w:num w:numId="11">
    <w:abstractNumId w:val="26"/>
  </w:num>
  <w:num w:numId="12">
    <w:abstractNumId w:val="17"/>
  </w:num>
  <w:num w:numId="13">
    <w:abstractNumId w:val="1"/>
  </w:num>
  <w:num w:numId="14">
    <w:abstractNumId w:val="32"/>
  </w:num>
  <w:num w:numId="15">
    <w:abstractNumId w:val="30"/>
  </w:num>
  <w:num w:numId="16">
    <w:abstractNumId w:val="14"/>
  </w:num>
  <w:num w:numId="17">
    <w:abstractNumId w:val="9"/>
  </w:num>
  <w:num w:numId="18">
    <w:abstractNumId w:val="12"/>
  </w:num>
  <w:num w:numId="19">
    <w:abstractNumId w:val="31"/>
  </w:num>
  <w:num w:numId="20">
    <w:abstractNumId w:val="2"/>
  </w:num>
  <w:num w:numId="21">
    <w:abstractNumId w:val="11"/>
  </w:num>
  <w:num w:numId="22">
    <w:abstractNumId w:val="15"/>
  </w:num>
  <w:num w:numId="23">
    <w:abstractNumId w:val="10"/>
  </w:num>
  <w:num w:numId="24">
    <w:abstractNumId w:val="7"/>
  </w:num>
  <w:num w:numId="25">
    <w:abstractNumId w:val="5"/>
  </w:num>
  <w:num w:numId="26">
    <w:abstractNumId w:val="27"/>
  </w:num>
  <w:num w:numId="27">
    <w:abstractNumId w:val="3"/>
  </w:num>
  <w:num w:numId="28">
    <w:abstractNumId w:val="28"/>
  </w:num>
  <w:num w:numId="29">
    <w:abstractNumId w:val="21"/>
  </w:num>
  <w:num w:numId="30">
    <w:abstractNumId w:val="22"/>
  </w:num>
  <w:num w:numId="31">
    <w:abstractNumId w:val="8"/>
  </w:num>
  <w:num w:numId="32">
    <w:abstractNumId w:val="24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A18"/>
    <w:rsid w:val="000003E5"/>
    <w:rsid w:val="00014F3E"/>
    <w:rsid w:val="00020AD1"/>
    <w:rsid w:val="00022BBC"/>
    <w:rsid w:val="000405F3"/>
    <w:rsid w:val="00041919"/>
    <w:rsid w:val="00042D7D"/>
    <w:rsid w:val="00045C8B"/>
    <w:rsid w:val="00053868"/>
    <w:rsid w:val="00053C7B"/>
    <w:rsid w:val="00053EAE"/>
    <w:rsid w:val="00056915"/>
    <w:rsid w:val="0006781D"/>
    <w:rsid w:val="00067D8A"/>
    <w:rsid w:val="00073C46"/>
    <w:rsid w:val="000752A3"/>
    <w:rsid w:val="000867C7"/>
    <w:rsid w:val="000879CA"/>
    <w:rsid w:val="00090F9F"/>
    <w:rsid w:val="00092271"/>
    <w:rsid w:val="00093EC9"/>
    <w:rsid w:val="000A2842"/>
    <w:rsid w:val="000B132E"/>
    <w:rsid w:val="000B54F7"/>
    <w:rsid w:val="000C05CB"/>
    <w:rsid w:val="000C13AF"/>
    <w:rsid w:val="000C3055"/>
    <w:rsid w:val="000C32D0"/>
    <w:rsid w:val="000C55D3"/>
    <w:rsid w:val="000C5E27"/>
    <w:rsid w:val="000C6105"/>
    <w:rsid w:val="000D0D9B"/>
    <w:rsid w:val="000D46D0"/>
    <w:rsid w:val="000D6784"/>
    <w:rsid w:val="000E22AD"/>
    <w:rsid w:val="000E4739"/>
    <w:rsid w:val="000E661C"/>
    <w:rsid w:val="00101A6F"/>
    <w:rsid w:val="001060E9"/>
    <w:rsid w:val="00117CFE"/>
    <w:rsid w:val="00121D4D"/>
    <w:rsid w:val="001235E0"/>
    <w:rsid w:val="001245EB"/>
    <w:rsid w:val="0012480A"/>
    <w:rsid w:val="00127D80"/>
    <w:rsid w:val="00133E4C"/>
    <w:rsid w:val="00134633"/>
    <w:rsid w:val="001350C8"/>
    <w:rsid w:val="00140282"/>
    <w:rsid w:val="00144083"/>
    <w:rsid w:val="00152A49"/>
    <w:rsid w:val="00161190"/>
    <w:rsid w:val="00170487"/>
    <w:rsid w:val="00171BAD"/>
    <w:rsid w:val="00172A18"/>
    <w:rsid w:val="0017604F"/>
    <w:rsid w:val="001775C9"/>
    <w:rsid w:val="001857C9"/>
    <w:rsid w:val="00185A87"/>
    <w:rsid w:val="00187208"/>
    <w:rsid w:val="00191345"/>
    <w:rsid w:val="001A11BB"/>
    <w:rsid w:val="001A5391"/>
    <w:rsid w:val="001B1543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E31EB"/>
    <w:rsid w:val="001E3CB7"/>
    <w:rsid w:val="001F346E"/>
    <w:rsid w:val="001F4636"/>
    <w:rsid w:val="001F4835"/>
    <w:rsid w:val="001F49BD"/>
    <w:rsid w:val="00200783"/>
    <w:rsid w:val="0020226E"/>
    <w:rsid w:val="002058C1"/>
    <w:rsid w:val="002150E5"/>
    <w:rsid w:val="00231D56"/>
    <w:rsid w:val="00235908"/>
    <w:rsid w:val="00242D05"/>
    <w:rsid w:val="00244342"/>
    <w:rsid w:val="00245E14"/>
    <w:rsid w:val="0024685E"/>
    <w:rsid w:val="00252687"/>
    <w:rsid w:val="00252D87"/>
    <w:rsid w:val="002576C6"/>
    <w:rsid w:val="002649EE"/>
    <w:rsid w:val="002659E6"/>
    <w:rsid w:val="0027361A"/>
    <w:rsid w:val="00275495"/>
    <w:rsid w:val="002777BD"/>
    <w:rsid w:val="00282D92"/>
    <w:rsid w:val="00286973"/>
    <w:rsid w:val="00291329"/>
    <w:rsid w:val="00291CE4"/>
    <w:rsid w:val="002934F4"/>
    <w:rsid w:val="0029577C"/>
    <w:rsid w:val="00295A61"/>
    <w:rsid w:val="002A1FCF"/>
    <w:rsid w:val="002A50A2"/>
    <w:rsid w:val="002A7C01"/>
    <w:rsid w:val="002B7B4B"/>
    <w:rsid w:val="002C2005"/>
    <w:rsid w:val="002C3025"/>
    <w:rsid w:val="002D0AEA"/>
    <w:rsid w:val="002D309F"/>
    <w:rsid w:val="002E41B7"/>
    <w:rsid w:val="002E4279"/>
    <w:rsid w:val="002E488F"/>
    <w:rsid w:val="002F1590"/>
    <w:rsid w:val="002F57D2"/>
    <w:rsid w:val="002F62A6"/>
    <w:rsid w:val="00300D84"/>
    <w:rsid w:val="00302829"/>
    <w:rsid w:val="003072B7"/>
    <w:rsid w:val="00307575"/>
    <w:rsid w:val="00307C69"/>
    <w:rsid w:val="00311222"/>
    <w:rsid w:val="00311387"/>
    <w:rsid w:val="003146BD"/>
    <w:rsid w:val="00333F04"/>
    <w:rsid w:val="00334006"/>
    <w:rsid w:val="003350F2"/>
    <w:rsid w:val="00341089"/>
    <w:rsid w:val="00344D92"/>
    <w:rsid w:val="00347059"/>
    <w:rsid w:val="00350421"/>
    <w:rsid w:val="003529DA"/>
    <w:rsid w:val="003533BB"/>
    <w:rsid w:val="003544FA"/>
    <w:rsid w:val="00354B94"/>
    <w:rsid w:val="00355BAD"/>
    <w:rsid w:val="0036451D"/>
    <w:rsid w:val="0037095C"/>
    <w:rsid w:val="00374999"/>
    <w:rsid w:val="00377383"/>
    <w:rsid w:val="00382058"/>
    <w:rsid w:val="003845D5"/>
    <w:rsid w:val="003849E1"/>
    <w:rsid w:val="003A0010"/>
    <w:rsid w:val="003A010C"/>
    <w:rsid w:val="003A1611"/>
    <w:rsid w:val="003A17D0"/>
    <w:rsid w:val="003A31E3"/>
    <w:rsid w:val="003A58B6"/>
    <w:rsid w:val="003A674D"/>
    <w:rsid w:val="003A6BB4"/>
    <w:rsid w:val="003B60C6"/>
    <w:rsid w:val="003B60EC"/>
    <w:rsid w:val="003D2323"/>
    <w:rsid w:val="003D442E"/>
    <w:rsid w:val="003E0D5F"/>
    <w:rsid w:val="003E6B8A"/>
    <w:rsid w:val="003F5440"/>
    <w:rsid w:val="003F6C9F"/>
    <w:rsid w:val="004118DC"/>
    <w:rsid w:val="00423C6F"/>
    <w:rsid w:val="004317E9"/>
    <w:rsid w:val="004343A1"/>
    <w:rsid w:val="00434B84"/>
    <w:rsid w:val="00434C5D"/>
    <w:rsid w:val="00441481"/>
    <w:rsid w:val="004427B7"/>
    <w:rsid w:val="00442F6E"/>
    <w:rsid w:val="0044711B"/>
    <w:rsid w:val="00460949"/>
    <w:rsid w:val="00461453"/>
    <w:rsid w:val="00464A0A"/>
    <w:rsid w:val="00465389"/>
    <w:rsid w:val="0047765C"/>
    <w:rsid w:val="00492B89"/>
    <w:rsid w:val="00493744"/>
    <w:rsid w:val="004A06FD"/>
    <w:rsid w:val="004A5428"/>
    <w:rsid w:val="004B2067"/>
    <w:rsid w:val="004B4FCC"/>
    <w:rsid w:val="004B66D2"/>
    <w:rsid w:val="004C33F9"/>
    <w:rsid w:val="004C35D0"/>
    <w:rsid w:val="004C50AE"/>
    <w:rsid w:val="004C60A5"/>
    <w:rsid w:val="004D3059"/>
    <w:rsid w:val="004E20CF"/>
    <w:rsid w:val="004E2D19"/>
    <w:rsid w:val="004F0A95"/>
    <w:rsid w:val="00505CB5"/>
    <w:rsid w:val="00505D7B"/>
    <w:rsid w:val="00506498"/>
    <w:rsid w:val="00514B92"/>
    <w:rsid w:val="00515F38"/>
    <w:rsid w:val="0051781C"/>
    <w:rsid w:val="005201CC"/>
    <w:rsid w:val="00520F66"/>
    <w:rsid w:val="00524B75"/>
    <w:rsid w:val="005321D4"/>
    <w:rsid w:val="00536D2F"/>
    <w:rsid w:val="005412A2"/>
    <w:rsid w:val="005442FD"/>
    <w:rsid w:val="00550FE4"/>
    <w:rsid w:val="005514B6"/>
    <w:rsid w:val="005524F5"/>
    <w:rsid w:val="00561547"/>
    <w:rsid w:val="00566C09"/>
    <w:rsid w:val="0058105B"/>
    <w:rsid w:val="00583E84"/>
    <w:rsid w:val="00585E34"/>
    <w:rsid w:val="00587E06"/>
    <w:rsid w:val="005900A4"/>
    <w:rsid w:val="00590F9F"/>
    <w:rsid w:val="00591611"/>
    <w:rsid w:val="00592A28"/>
    <w:rsid w:val="005B10D0"/>
    <w:rsid w:val="005B30A7"/>
    <w:rsid w:val="005B446A"/>
    <w:rsid w:val="005B530D"/>
    <w:rsid w:val="005C124B"/>
    <w:rsid w:val="005C5E0F"/>
    <w:rsid w:val="005E1B39"/>
    <w:rsid w:val="005E5933"/>
    <w:rsid w:val="005F1761"/>
    <w:rsid w:val="006031CE"/>
    <w:rsid w:val="006045FD"/>
    <w:rsid w:val="006457CC"/>
    <w:rsid w:val="00646543"/>
    <w:rsid w:val="00647330"/>
    <w:rsid w:val="00655A27"/>
    <w:rsid w:val="00662AF5"/>
    <w:rsid w:val="00664A47"/>
    <w:rsid w:val="00667776"/>
    <w:rsid w:val="0067329E"/>
    <w:rsid w:val="0067691B"/>
    <w:rsid w:val="0068143E"/>
    <w:rsid w:val="00684992"/>
    <w:rsid w:val="00685FCA"/>
    <w:rsid w:val="00686AE3"/>
    <w:rsid w:val="00691344"/>
    <w:rsid w:val="006A35A9"/>
    <w:rsid w:val="006A4F79"/>
    <w:rsid w:val="006A5FA5"/>
    <w:rsid w:val="006A6E58"/>
    <w:rsid w:val="006B1073"/>
    <w:rsid w:val="006B7171"/>
    <w:rsid w:val="006C00F9"/>
    <w:rsid w:val="006C0980"/>
    <w:rsid w:val="006C4F9B"/>
    <w:rsid w:val="006C5CE3"/>
    <w:rsid w:val="006D0333"/>
    <w:rsid w:val="006D16F1"/>
    <w:rsid w:val="006E0333"/>
    <w:rsid w:val="006E2026"/>
    <w:rsid w:val="006E2FBF"/>
    <w:rsid w:val="006E47CE"/>
    <w:rsid w:val="00702239"/>
    <w:rsid w:val="00706668"/>
    <w:rsid w:val="00706F8D"/>
    <w:rsid w:val="00710DED"/>
    <w:rsid w:val="007140D2"/>
    <w:rsid w:val="00714BC8"/>
    <w:rsid w:val="007167B8"/>
    <w:rsid w:val="007238D2"/>
    <w:rsid w:val="00724829"/>
    <w:rsid w:val="00726B5C"/>
    <w:rsid w:val="00731446"/>
    <w:rsid w:val="00732F1F"/>
    <w:rsid w:val="00733935"/>
    <w:rsid w:val="00740F3D"/>
    <w:rsid w:val="00741CB4"/>
    <w:rsid w:val="00744D43"/>
    <w:rsid w:val="00750351"/>
    <w:rsid w:val="00755D9F"/>
    <w:rsid w:val="007564B2"/>
    <w:rsid w:val="00757181"/>
    <w:rsid w:val="007610B5"/>
    <w:rsid w:val="00761B98"/>
    <w:rsid w:val="00762442"/>
    <w:rsid w:val="00762F80"/>
    <w:rsid w:val="00773152"/>
    <w:rsid w:val="007834B7"/>
    <w:rsid w:val="0078754B"/>
    <w:rsid w:val="00794B51"/>
    <w:rsid w:val="007A0822"/>
    <w:rsid w:val="007A280B"/>
    <w:rsid w:val="007A477B"/>
    <w:rsid w:val="007A487E"/>
    <w:rsid w:val="007A4914"/>
    <w:rsid w:val="007B2FE2"/>
    <w:rsid w:val="007C100F"/>
    <w:rsid w:val="007C46F2"/>
    <w:rsid w:val="007C543E"/>
    <w:rsid w:val="007C700C"/>
    <w:rsid w:val="007D3CF4"/>
    <w:rsid w:val="007D4BBE"/>
    <w:rsid w:val="007D6106"/>
    <w:rsid w:val="007E51D1"/>
    <w:rsid w:val="007F52E0"/>
    <w:rsid w:val="007F7FE8"/>
    <w:rsid w:val="00803C7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30FD9"/>
    <w:rsid w:val="008468F2"/>
    <w:rsid w:val="008518D2"/>
    <w:rsid w:val="0085245E"/>
    <w:rsid w:val="0085494A"/>
    <w:rsid w:val="00855733"/>
    <w:rsid w:val="00865B4B"/>
    <w:rsid w:val="0087250B"/>
    <w:rsid w:val="00876CD8"/>
    <w:rsid w:val="00880199"/>
    <w:rsid w:val="00885918"/>
    <w:rsid w:val="008862CD"/>
    <w:rsid w:val="008947D5"/>
    <w:rsid w:val="00895B77"/>
    <w:rsid w:val="008A2D04"/>
    <w:rsid w:val="008A53A1"/>
    <w:rsid w:val="008A7597"/>
    <w:rsid w:val="008B1AEC"/>
    <w:rsid w:val="008C08B2"/>
    <w:rsid w:val="008D75C3"/>
    <w:rsid w:val="008F50C2"/>
    <w:rsid w:val="008F5608"/>
    <w:rsid w:val="008F59CD"/>
    <w:rsid w:val="008F64F2"/>
    <w:rsid w:val="00902A8A"/>
    <w:rsid w:val="0092115C"/>
    <w:rsid w:val="00924A53"/>
    <w:rsid w:val="00931ACD"/>
    <w:rsid w:val="009336C5"/>
    <w:rsid w:val="00935EE1"/>
    <w:rsid w:val="00942841"/>
    <w:rsid w:val="00944212"/>
    <w:rsid w:val="00945EAB"/>
    <w:rsid w:val="00955B2E"/>
    <w:rsid w:val="00956D39"/>
    <w:rsid w:val="009606A5"/>
    <w:rsid w:val="0096080C"/>
    <w:rsid w:val="00960E38"/>
    <w:rsid w:val="00961F51"/>
    <w:rsid w:val="00967A49"/>
    <w:rsid w:val="00970D67"/>
    <w:rsid w:val="0098040F"/>
    <w:rsid w:val="009818BB"/>
    <w:rsid w:val="009849DF"/>
    <w:rsid w:val="00985D12"/>
    <w:rsid w:val="00985FC4"/>
    <w:rsid w:val="009A0F92"/>
    <w:rsid w:val="009A14B5"/>
    <w:rsid w:val="009A2734"/>
    <w:rsid w:val="009A7C65"/>
    <w:rsid w:val="009B33A1"/>
    <w:rsid w:val="009C71CC"/>
    <w:rsid w:val="009D3541"/>
    <w:rsid w:val="009D6351"/>
    <w:rsid w:val="009E1E13"/>
    <w:rsid w:val="009F4CC3"/>
    <w:rsid w:val="00A044BF"/>
    <w:rsid w:val="00A07749"/>
    <w:rsid w:val="00A17D19"/>
    <w:rsid w:val="00A22ED2"/>
    <w:rsid w:val="00A235DB"/>
    <w:rsid w:val="00A3162E"/>
    <w:rsid w:val="00A37845"/>
    <w:rsid w:val="00A41F13"/>
    <w:rsid w:val="00A44C0A"/>
    <w:rsid w:val="00A50ED0"/>
    <w:rsid w:val="00A561B0"/>
    <w:rsid w:val="00A56C7C"/>
    <w:rsid w:val="00A56D30"/>
    <w:rsid w:val="00A56F99"/>
    <w:rsid w:val="00A64F3B"/>
    <w:rsid w:val="00A74053"/>
    <w:rsid w:val="00A760A1"/>
    <w:rsid w:val="00A81EE1"/>
    <w:rsid w:val="00A851DF"/>
    <w:rsid w:val="00A85AE6"/>
    <w:rsid w:val="00A924F0"/>
    <w:rsid w:val="00A954A0"/>
    <w:rsid w:val="00A9681B"/>
    <w:rsid w:val="00AA0233"/>
    <w:rsid w:val="00AA5E26"/>
    <w:rsid w:val="00AA6926"/>
    <w:rsid w:val="00AB356B"/>
    <w:rsid w:val="00AB3CB8"/>
    <w:rsid w:val="00AC25BF"/>
    <w:rsid w:val="00AD1059"/>
    <w:rsid w:val="00AD2A16"/>
    <w:rsid w:val="00AD77B1"/>
    <w:rsid w:val="00AE165E"/>
    <w:rsid w:val="00AE40FD"/>
    <w:rsid w:val="00AF0C5B"/>
    <w:rsid w:val="00AF7526"/>
    <w:rsid w:val="00AF78B1"/>
    <w:rsid w:val="00B001F6"/>
    <w:rsid w:val="00B05B2D"/>
    <w:rsid w:val="00B061B8"/>
    <w:rsid w:val="00B07CBD"/>
    <w:rsid w:val="00B14EEF"/>
    <w:rsid w:val="00B17D80"/>
    <w:rsid w:val="00B221BB"/>
    <w:rsid w:val="00B43B30"/>
    <w:rsid w:val="00B4725F"/>
    <w:rsid w:val="00B47795"/>
    <w:rsid w:val="00B5113D"/>
    <w:rsid w:val="00B54EC3"/>
    <w:rsid w:val="00B5742D"/>
    <w:rsid w:val="00B641C8"/>
    <w:rsid w:val="00B70DE0"/>
    <w:rsid w:val="00B753F5"/>
    <w:rsid w:val="00B76785"/>
    <w:rsid w:val="00B96271"/>
    <w:rsid w:val="00B9657B"/>
    <w:rsid w:val="00B96EFE"/>
    <w:rsid w:val="00BA3C8C"/>
    <w:rsid w:val="00BA6F52"/>
    <w:rsid w:val="00BB169E"/>
    <w:rsid w:val="00BB7ED7"/>
    <w:rsid w:val="00BE1A34"/>
    <w:rsid w:val="00BE2A63"/>
    <w:rsid w:val="00BE32EE"/>
    <w:rsid w:val="00BF2C76"/>
    <w:rsid w:val="00BF3EE3"/>
    <w:rsid w:val="00C0023E"/>
    <w:rsid w:val="00C01E85"/>
    <w:rsid w:val="00C02A02"/>
    <w:rsid w:val="00C02E5D"/>
    <w:rsid w:val="00C03A79"/>
    <w:rsid w:val="00C053CE"/>
    <w:rsid w:val="00C0669A"/>
    <w:rsid w:val="00C06EB0"/>
    <w:rsid w:val="00C07158"/>
    <w:rsid w:val="00C13C7E"/>
    <w:rsid w:val="00C20E7F"/>
    <w:rsid w:val="00C20EA3"/>
    <w:rsid w:val="00C217A9"/>
    <w:rsid w:val="00C25E37"/>
    <w:rsid w:val="00C301F7"/>
    <w:rsid w:val="00C3154E"/>
    <w:rsid w:val="00C33340"/>
    <w:rsid w:val="00C47131"/>
    <w:rsid w:val="00C52497"/>
    <w:rsid w:val="00C602CE"/>
    <w:rsid w:val="00C6147D"/>
    <w:rsid w:val="00C64219"/>
    <w:rsid w:val="00C64EBC"/>
    <w:rsid w:val="00C65454"/>
    <w:rsid w:val="00C7215B"/>
    <w:rsid w:val="00C807F6"/>
    <w:rsid w:val="00C854B5"/>
    <w:rsid w:val="00C85CC8"/>
    <w:rsid w:val="00C902C7"/>
    <w:rsid w:val="00C9546F"/>
    <w:rsid w:val="00C966F6"/>
    <w:rsid w:val="00CB3CD7"/>
    <w:rsid w:val="00CC1BED"/>
    <w:rsid w:val="00CC3708"/>
    <w:rsid w:val="00CC5B57"/>
    <w:rsid w:val="00CF2CBB"/>
    <w:rsid w:val="00D021B3"/>
    <w:rsid w:val="00D074C5"/>
    <w:rsid w:val="00D12D69"/>
    <w:rsid w:val="00D13231"/>
    <w:rsid w:val="00D15896"/>
    <w:rsid w:val="00D16E41"/>
    <w:rsid w:val="00D172A3"/>
    <w:rsid w:val="00D17A9F"/>
    <w:rsid w:val="00D25E56"/>
    <w:rsid w:val="00D369C5"/>
    <w:rsid w:val="00D4129E"/>
    <w:rsid w:val="00D46CDC"/>
    <w:rsid w:val="00D51D6A"/>
    <w:rsid w:val="00D53D38"/>
    <w:rsid w:val="00D53DDD"/>
    <w:rsid w:val="00D550AB"/>
    <w:rsid w:val="00D624F0"/>
    <w:rsid w:val="00D709F4"/>
    <w:rsid w:val="00D81E7E"/>
    <w:rsid w:val="00D82876"/>
    <w:rsid w:val="00D85068"/>
    <w:rsid w:val="00D863A1"/>
    <w:rsid w:val="00DA471E"/>
    <w:rsid w:val="00DA5CA5"/>
    <w:rsid w:val="00DB080D"/>
    <w:rsid w:val="00DB16EC"/>
    <w:rsid w:val="00DC7D62"/>
    <w:rsid w:val="00DD2F29"/>
    <w:rsid w:val="00DD2F7B"/>
    <w:rsid w:val="00DE201F"/>
    <w:rsid w:val="00DE4133"/>
    <w:rsid w:val="00DE4ADD"/>
    <w:rsid w:val="00DE516D"/>
    <w:rsid w:val="00DE5411"/>
    <w:rsid w:val="00DE553F"/>
    <w:rsid w:val="00DE6363"/>
    <w:rsid w:val="00DE7CB6"/>
    <w:rsid w:val="00DF27C9"/>
    <w:rsid w:val="00DF3C10"/>
    <w:rsid w:val="00E00477"/>
    <w:rsid w:val="00E03554"/>
    <w:rsid w:val="00E04A6A"/>
    <w:rsid w:val="00E125E3"/>
    <w:rsid w:val="00E13F18"/>
    <w:rsid w:val="00E20F21"/>
    <w:rsid w:val="00E4064C"/>
    <w:rsid w:val="00E46B53"/>
    <w:rsid w:val="00E51404"/>
    <w:rsid w:val="00E539E9"/>
    <w:rsid w:val="00E55A0B"/>
    <w:rsid w:val="00E57D9C"/>
    <w:rsid w:val="00E76747"/>
    <w:rsid w:val="00E8191C"/>
    <w:rsid w:val="00E90EC0"/>
    <w:rsid w:val="00E91FF7"/>
    <w:rsid w:val="00E9216C"/>
    <w:rsid w:val="00E97F0A"/>
    <w:rsid w:val="00EA0C8C"/>
    <w:rsid w:val="00EA7A89"/>
    <w:rsid w:val="00EB28AE"/>
    <w:rsid w:val="00EB2927"/>
    <w:rsid w:val="00EC03C0"/>
    <w:rsid w:val="00ED01DA"/>
    <w:rsid w:val="00ED109E"/>
    <w:rsid w:val="00ED44E5"/>
    <w:rsid w:val="00ED4C92"/>
    <w:rsid w:val="00EE0AD5"/>
    <w:rsid w:val="00EE751E"/>
    <w:rsid w:val="00EF18B5"/>
    <w:rsid w:val="00EF3B4E"/>
    <w:rsid w:val="00F02CD0"/>
    <w:rsid w:val="00F03E8C"/>
    <w:rsid w:val="00F06C4B"/>
    <w:rsid w:val="00F1073E"/>
    <w:rsid w:val="00F14625"/>
    <w:rsid w:val="00F16B3E"/>
    <w:rsid w:val="00F17754"/>
    <w:rsid w:val="00F20C64"/>
    <w:rsid w:val="00F2150A"/>
    <w:rsid w:val="00F21D7F"/>
    <w:rsid w:val="00F22829"/>
    <w:rsid w:val="00F23362"/>
    <w:rsid w:val="00F26329"/>
    <w:rsid w:val="00F3541A"/>
    <w:rsid w:val="00F35952"/>
    <w:rsid w:val="00F368FE"/>
    <w:rsid w:val="00F44569"/>
    <w:rsid w:val="00F5311B"/>
    <w:rsid w:val="00F56688"/>
    <w:rsid w:val="00F574E0"/>
    <w:rsid w:val="00F61097"/>
    <w:rsid w:val="00F62A18"/>
    <w:rsid w:val="00F62ECD"/>
    <w:rsid w:val="00F65D80"/>
    <w:rsid w:val="00F93BF0"/>
    <w:rsid w:val="00FA0414"/>
    <w:rsid w:val="00FA0854"/>
    <w:rsid w:val="00FA55D3"/>
    <w:rsid w:val="00FA5A93"/>
    <w:rsid w:val="00FB0316"/>
    <w:rsid w:val="00FB3D36"/>
    <w:rsid w:val="00FC07C3"/>
    <w:rsid w:val="00FC566E"/>
    <w:rsid w:val="00FC7D97"/>
    <w:rsid w:val="00FD21FB"/>
    <w:rsid w:val="00FD3EBC"/>
    <w:rsid w:val="00FD4498"/>
    <w:rsid w:val="00FE28E8"/>
    <w:rsid w:val="00FF1338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rok.biz/info/images/679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krok.biz/info/images/680.jpg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9DDE-7FDA-4772-A6D9-33D55452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Daykini</cp:lastModifiedBy>
  <cp:revision>44</cp:revision>
  <dcterms:created xsi:type="dcterms:W3CDTF">2018-07-12T09:25:00Z</dcterms:created>
  <dcterms:modified xsi:type="dcterms:W3CDTF">2020-06-15T17:38:00Z</dcterms:modified>
</cp:coreProperties>
</file>